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b/>
          <w:bCs/>
          <w:color w:val="5E6D81"/>
          <w:sz w:val="20"/>
          <w:szCs w:val="20"/>
          <w:lang w:eastAsia="ru-RU"/>
        </w:rPr>
        <w:t>ДМИНИСТРАЦИЯ ДЕРБИШЕВСКОГО СЕЛЬСКОГО ПОСЕЛЕНИЯ</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b/>
          <w:bCs/>
          <w:color w:val="5E6D81"/>
          <w:sz w:val="20"/>
          <w:szCs w:val="20"/>
          <w:lang w:eastAsia="ru-RU"/>
        </w:rPr>
        <w:t>АРГАЯШСКОГО МУНИЦИПАЛЬНОГО РАЙОНА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b/>
          <w:bCs/>
          <w:color w:val="5E6D81"/>
          <w:sz w:val="20"/>
          <w:szCs w:val="20"/>
          <w:lang w:eastAsia="ru-RU"/>
        </w:rPr>
        <w:t>                                                                       ЧЕЛЯБИНСКОЙ ОБЛАСТИ              </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b/>
          <w:bCs/>
          <w:color w:val="5E6D81"/>
          <w:sz w:val="20"/>
          <w:szCs w:val="20"/>
          <w:lang w:eastAsia="ru-RU"/>
        </w:rPr>
        <w:t>ПОСТАНОВЛЕНИЕ</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noProof/>
          <w:color w:val="5E6D81"/>
          <w:sz w:val="20"/>
          <w:szCs w:val="20"/>
          <w:lang w:eastAsia="ru-RU"/>
        </w:rPr>
        <mc:AlternateContent>
          <mc:Choice Requires="wps">
            <w:drawing>
              <wp:inline distT="0" distB="0" distL="0" distR="0">
                <wp:extent cx="6591300" cy="57150"/>
                <wp:effectExtent l="0" t="0" r="0" b="0"/>
                <wp:docPr id="1" name="Прямоугольник 1" descr="C:\DOCUME~1\Admin\LOCALS~1\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913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24E28" id="Прямоугольник 1" o:spid="_x0000_s1026" style="width:51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" filled="f" stroked="f">
                <o:lock v:ext="edit" aspectratio="t"/>
                <w10:anchorlock/>
              </v:rect>
            </w:pict>
          </mc:Fallback>
        </mc:AlternateContent>
      </w: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«15» августа  2016 года                                                                                                                                №  </w:t>
      </w:r>
      <w:r w:rsidRPr="00235464">
        <w:rPr>
          <w:rFonts w:ascii="Tahoma" w:eastAsia="Times New Roman" w:hAnsi="Tahoma" w:cs="Tahoma"/>
          <w:color w:val="5E6D81"/>
          <w:sz w:val="20"/>
          <w:szCs w:val="20"/>
          <w:u w:val="single"/>
          <w:lang w:eastAsia="ru-RU"/>
        </w:rPr>
        <w:t>161</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b/>
          <w:bCs/>
          <w:color w:val="5E6D81"/>
          <w:sz w:val="20"/>
          <w:szCs w:val="20"/>
          <w:lang w:eastAsia="ru-RU"/>
        </w:rPr>
        <w:t>О Порядке составления проекта бюджета Дербишевского сельского поселения</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br/>
        <w:t>В целях своевременной и качественной разработки проекта бюджета сельского Дербишевского сельского поселения на очередной финансовый год, администрация сельского поселения постановляет:</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 Утвердить прилагаемые:</w:t>
      </w:r>
      <w:r w:rsidRPr="00235464">
        <w:rPr>
          <w:rFonts w:ascii="Tahoma" w:eastAsia="Times New Roman" w:hAnsi="Tahoma" w:cs="Tahoma"/>
          <w:color w:val="5E6D81"/>
          <w:sz w:val="20"/>
          <w:szCs w:val="20"/>
          <w:lang w:eastAsia="ru-RU"/>
        </w:rPr>
        <w:br/>
        <w:t>- Порядок составления проекта бюджета Дербишевского сельского поселения (далее – Порядок).</w:t>
      </w:r>
      <w:r w:rsidRPr="00235464">
        <w:rPr>
          <w:rFonts w:ascii="Tahoma" w:eastAsia="Times New Roman" w:hAnsi="Tahoma" w:cs="Tahoma"/>
          <w:color w:val="5E6D81"/>
          <w:sz w:val="20"/>
          <w:szCs w:val="20"/>
          <w:lang w:eastAsia="ru-RU"/>
        </w:rPr>
        <w:br/>
        <w:t>- Методику прогнозирования доходов бюджета Дербишевского сельского поселения                             - Календарный план подготовки и рассмотрения в текущем финансовом году проектов решений, документов и материалов, разрабатываемых при составлении проекта бюджета Дербишевского сельского поселения на очередной финансовый год.</w:t>
      </w:r>
      <w:r w:rsidRPr="00235464">
        <w:rPr>
          <w:rFonts w:ascii="Tahoma" w:eastAsia="Times New Roman" w:hAnsi="Tahoma" w:cs="Tahoma"/>
          <w:color w:val="5E6D81"/>
          <w:sz w:val="20"/>
          <w:szCs w:val="20"/>
          <w:lang w:eastAsia="ru-RU"/>
        </w:rPr>
        <w:br/>
        <w:t>3. Настоящее постановление подлежит обнародованию.</w:t>
      </w:r>
      <w:r w:rsidRPr="00235464">
        <w:rPr>
          <w:rFonts w:ascii="Tahoma" w:eastAsia="Times New Roman" w:hAnsi="Tahoma" w:cs="Tahoma"/>
          <w:color w:val="5E6D81"/>
          <w:sz w:val="20"/>
          <w:szCs w:val="20"/>
          <w:lang w:eastAsia="ru-RU"/>
        </w:rPr>
        <w:br/>
        <w:t>4. Контроль за исполнением настоящего постановления оставляю за собой.</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Глава администрации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Дербишевского сельского поселения                                           З.Г. Сулейманов</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right"/>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УТВЕРЖДЕН</w:t>
      </w:r>
    </w:p>
    <w:p w:rsidR="00235464" w:rsidRPr="00235464" w:rsidRDefault="00235464" w:rsidP="00235464">
      <w:pPr>
        <w:shd w:val="clear" w:color="auto" w:fill="FFFFFF"/>
        <w:spacing w:after="0" w:line="240" w:lineRule="auto"/>
        <w:jc w:val="right"/>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постановлением администрации</w:t>
      </w:r>
      <w:r w:rsidRPr="00235464">
        <w:rPr>
          <w:rFonts w:ascii="Tahoma" w:eastAsia="Times New Roman" w:hAnsi="Tahoma" w:cs="Tahoma"/>
          <w:color w:val="5E6D81"/>
          <w:sz w:val="20"/>
          <w:szCs w:val="20"/>
          <w:lang w:eastAsia="ru-RU"/>
        </w:rPr>
        <w:br/>
        <w:t>Дербишевского сельского поселения</w:t>
      </w:r>
      <w:r w:rsidRPr="00235464">
        <w:rPr>
          <w:rFonts w:ascii="Tahoma" w:eastAsia="Times New Roman" w:hAnsi="Tahoma" w:cs="Tahoma"/>
          <w:color w:val="5E6D81"/>
          <w:sz w:val="20"/>
          <w:szCs w:val="20"/>
          <w:lang w:eastAsia="ru-RU"/>
        </w:rPr>
        <w:br/>
        <w:t>от 15.08.2016 № 161</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b/>
          <w:bCs/>
          <w:color w:val="5E6D81"/>
          <w:sz w:val="20"/>
          <w:szCs w:val="20"/>
          <w:lang w:eastAsia="ru-RU"/>
        </w:rPr>
        <w:t>ПОРЯДОК</w:t>
      </w:r>
      <w:r w:rsidRPr="00235464">
        <w:rPr>
          <w:rFonts w:ascii="Tahoma" w:eastAsia="Times New Roman" w:hAnsi="Tahoma" w:cs="Tahoma"/>
          <w:color w:val="5E6D81"/>
          <w:sz w:val="20"/>
          <w:szCs w:val="20"/>
          <w:lang w:eastAsia="ru-RU"/>
        </w:rPr>
        <w:br/>
      </w:r>
      <w:r w:rsidRPr="00235464">
        <w:rPr>
          <w:rFonts w:ascii="Tahoma" w:eastAsia="Times New Roman" w:hAnsi="Tahoma" w:cs="Tahoma"/>
          <w:b/>
          <w:bCs/>
          <w:color w:val="5E6D81"/>
          <w:sz w:val="20"/>
          <w:szCs w:val="20"/>
          <w:lang w:eastAsia="ru-RU"/>
        </w:rPr>
        <w:t>составления проекта бюджета Дербишевского сельского поселения</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 Общие положения</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1.1.Настоящий Порядок регламентирует процедуру составления проекта бюджета Дербишевского сельского поселения (далее - проект бюджета) в целях обеспечения системности планирования и установления единого порядка формирования основных параметров бюджета Дербишевского сельского поселения (далее - бюджет). </w:t>
      </w:r>
      <w:r w:rsidRPr="00235464">
        <w:rPr>
          <w:rFonts w:ascii="Tahoma" w:eastAsia="Times New Roman" w:hAnsi="Tahoma" w:cs="Tahoma"/>
          <w:color w:val="5E6D81"/>
          <w:sz w:val="20"/>
          <w:szCs w:val="20"/>
          <w:lang w:eastAsia="ru-RU"/>
        </w:rPr>
        <w:br/>
        <w:t>1.2.Составление проекта бюджета осуществляется в соответствии с бюджетным законодательством Российской Федерации и основывается на Бюджетном послании Президента Российской Федерации, прогнозе социально-экономического развития поселения, основных направлениях бюджетной и налоговой политики муниципальных программах сельского Дербишевского сельского поселения.</w:t>
      </w:r>
      <w:r w:rsidRPr="00235464">
        <w:rPr>
          <w:rFonts w:ascii="Tahoma" w:eastAsia="Times New Roman" w:hAnsi="Tahoma" w:cs="Tahoma"/>
          <w:color w:val="5E6D81"/>
          <w:sz w:val="20"/>
          <w:szCs w:val="20"/>
          <w:lang w:eastAsia="ru-RU"/>
        </w:rPr>
        <w:br/>
        <w:t>1.3.Проект бюджета составляется и утверждается сроком на один год – очередной финансовый год.</w:t>
      </w:r>
      <w:r w:rsidRPr="00235464">
        <w:rPr>
          <w:rFonts w:ascii="Tahoma" w:eastAsia="Times New Roman" w:hAnsi="Tahoma" w:cs="Tahoma"/>
          <w:color w:val="5E6D81"/>
          <w:sz w:val="20"/>
          <w:szCs w:val="20"/>
          <w:lang w:eastAsia="ru-RU"/>
        </w:rPr>
        <w:br/>
        <w:t>1.4.В целях настоящего Порядка под субъектами бюджетного планирования понимаются органы местного самоуправления, юридические лица, обособленные подразделения юридических лиц, индивидуальные предприниматели, осуществляющие деятельность на территории поселения и предоставляющие материалы и сведения, необходимые для составления проекта бюджета.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2. Взаимодействие субъектов бюджетного процесса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2.1.При составлении проекта бюджета взаимодействуют все субъекты бюджетного планирования.</w:t>
      </w:r>
      <w:r w:rsidRPr="00235464">
        <w:rPr>
          <w:rFonts w:ascii="Tahoma" w:eastAsia="Times New Roman" w:hAnsi="Tahoma" w:cs="Tahoma"/>
          <w:color w:val="5E6D81"/>
          <w:sz w:val="20"/>
          <w:szCs w:val="20"/>
          <w:lang w:eastAsia="ru-RU"/>
        </w:rPr>
        <w:br/>
        <w:t>2.2.Администрация Дербишевского сельского поселения (далее – администрация) организует составление и составляет проект бюджета на очередной финансовый год,   в том числе:</w:t>
      </w:r>
      <w:r w:rsidRPr="00235464">
        <w:rPr>
          <w:rFonts w:ascii="Tahoma" w:eastAsia="Times New Roman" w:hAnsi="Tahoma" w:cs="Tahoma"/>
          <w:color w:val="5E6D81"/>
          <w:sz w:val="20"/>
          <w:szCs w:val="20"/>
          <w:lang w:eastAsia="ru-RU"/>
        </w:rPr>
        <w:br/>
        <w:t>а) разрабатывает основные направления бюджетной и налоговой политики в Дербишевском сельском поселении с учетом федеральных и областных направлений;</w:t>
      </w:r>
      <w:r w:rsidRPr="00235464">
        <w:rPr>
          <w:rFonts w:ascii="Tahoma" w:eastAsia="Times New Roman" w:hAnsi="Tahoma" w:cs="Tahoma"/>
          <w:color w:val="5E6D81"/>
          <w:sz w:val="20"/>
          <w:szCs w:val="20"/>
          <w:lang w:eastAsia="ru-RU"/>
        </w:rPr>
        <w:br/>
        <w:t xml:space="preserve">б) разрабатывает проектировки основных характеристик бюджета, а также осуществляет расчеты объема бюджетных ассигнований бюджета на исполнение действующих и принимаемых расходных </w:t>
      </w:r>
      <w:r w:rsidRPr="00235464">
        <w:rPr>
          <w:rFonts w:ascii="Tahoma" w:eastAsia="Times New Roman" w:hAnsi="Tahoma" w:cs="Tahoma"/>
          <w:color w:val="5E6D81"/>
          <w:sz w:val="20"/>
          <w:szCs w:val="20"/>
          <w:lang w:eastAsia="ru-RU"/>
        </w:rPr>
        <w:lastRenderedPageBreak/>
        <w:t>обязательств;</w:t>
      </w:r>
      <w:r w:rsidRPr="00235464">
        <w:rPr>
          <w:rFonts w:ascii="Tahoma" w:eastAsia="Times New Roman" w:hAnsi="Tahoma" w:cs="Tahoma"/>
          <w:color w:val="5E6D81"/>
          <w:sz w:val="20"/>
          <w:szCs w:val="20"/>
          <w:lang w:eastAsia="ru-RU"/>
        </w:rPr>
        <w:br/>
        <w:t>в) формирует реестр расходных обязательств сельского Дербишевского поселения; </w:t>
      </w:r>
      <w:r w:rsidRPr="00235464">
        <w:rPr>
          <w:rFonts w:ascii="Tahoma" w:eastAsia="Times New Roman" w:hAnsi="Tahoma" w:cs="Tahoma"/>
          <w:color w:val="5E6D81"/>
          <w:sz w:val="20"/>
          <w:szCs w:val="20"/>
          <w:lang w:eastAsia="ru-RU"/>
        </w:rPr>
        <w:br/>
        <w:t>г) устанавливает порядок и методику планирования бюджетных ассигнований с учетом принципов программно-целевого планирования бюджета;</w:t>
      </w:r>
      <w:r w:rsidRPr="00235464">
        <w:rPr>
          <w:rFonts w:ascii="Tahoma" w:eastAsia="Times New Roman" w:hAnsi="Tahoma" w:cs="Tahoma"/>
          <w:color w:val="5E6D81"/>
          <w:sz w:val="20"/>
          <w:szCs w:val="20"/>
          <w:lang w:eastAsia="ru-RU"/>
        </w:rPr>
        <w:br/>
        <w:t>д) представляет Главе поселения предложения по распределению бюджетных ассигнований бюджета на исполнение принимаемых расходных обязательств;</w:t>
      </w:r>
      <w:r w:rsidRPr="00235464">
        <w:rPr>
          <w:rFonts w:ascii="Tahoma" w:eastAsia="Times New Roman" w:hAnsi="Tahoma" w:cs="Tahoma"/>
          <w:color w:val="5E6D81"/>
          <w:sz w:val="20"/>
          <w:szCs w:val="20"/>
          <w:lang w:eastAsia="ru-RU"/>
        </w:rPr>
        <w:br/>
        <w:t>е) разрабатывает проектировки предельных объемов (изменений предельных объемов) бюджетных ассигнований на очередной финансовый год;</w:t>
      </w:r>
      <w:r w:rsidRPr="00235464">
        <w:rPr>
          <w:rFonts w:ascii="Tahoma" w:eastAsia="Times New Roman" w:hAnsi="Tahoma" w:cs="Tahoma"/>
          <w:color w:val="5E6D81"/>
          <w:sz w:val="20"/>
          <w:szCs w:val="20"/>
          <w:lang w:eastAsia="ru-RU"/>
        </w:rPr>
        <w:br/>
        <w:t>ж) осуществляет методологическое руководство и устанавливает порядок формирования и представления реестра расходных обязательств и обоснований бюджетных ассигнований бюджета сельского Дербишевского сельского поселения; </w:t>
      </w:r>
      <w:r w:rsidRPr="00235464">
        <w:rPr>
          <w:rFonts w:ascii="Tahoma" w:eastAsia="Times New Roman" w:hAnsi="Tahoma" w:cs="Tahoma"/>
          <w:color w:val="5E6D81"/>
          <w:sz w:val="20"/>
          <w:szCs w:val="20"/>
          <w:lang w:eastAsia="ru-RU"/>
        </w:rPr>
        <w:br/>
        <w:t>з) составляет прогноз поступления доходов и источников финансирования бюджета Дербишевского сельского поселения;</w:t>
      </w:r>
      <w:r w:rsidRPr="00235464">
        <w:rPr>
          <w:rFonts w:ascii="Tahoma" w:eastAsia="Times New Roman" w:hAnsi="Tahoma" w:cs="Tahoma"/>
          <w:color w:val="5E6D81"/>
          <w:sz w:val="20"/>
          <w:szCs w:val="20"/>
          <w:lang w:eastAsia="ru-RU"/>
        </w:rPr>
        <w:br/>
        <w:t>к) осуществляет оценку ожидаемого исполнения бюджета Дербишевского сельского поселения за текущий финансовый год;</w:t>
      </w:r>
      <w:r w:rsidRPr="00235464">
        <w:rPr>
          <w:rFonts w:ascii="Tahoma" w:eastAsia="Times New Roman" w:hAnsi="Tahoma" w:cs="Tahoma"/>
          <w:color w:val="5E6D81"/>
          <w:sz w:val="20"/>
          <w:szCs w:val="20"/>
          <w:lang w:eastAsia="ru-RU"/>
        </w:rPr>
        <w:br/>
        <w:t>л) формирует и представляет для одобрения проект решения о бюджете Дербишевского сельского поселения на очередной финансовый год, а также документы и материалы, подлежащие представлению в Совет депутатов Дербишевского сельского поселения одновременно с указанным проектом.</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3.Разработка проекта бюджета Дербишевского сельского поселения</w:t>
      </w:r>
      <w:r w:rsidRPr="00235464">
        <w:rPr>
          <w:rFonts w:ascii="Tahoma" w:eastAsia="Times New Roman" w:hAnsi="Tahoma" w:cs="Tahoma"/>
          <w:color w:val="5E6D81"/>
          <w:sz w:val="20"/>
          <w:szCs w:val="20"/>
          <w:lang w:eastAsia="ru-RU"/>
        </w:rPr>
        <w:br/>
      </w:r>
      <w:r w:rsidRPr="00235464">
        <w:rPr>
          <w:rFonts w:ascii="Tahoma" w:eastAsia="Times New Roman" w:hAnsi="Tahoma" w:cs="Tahoma"/>
          <w:color w:val="5E6D81"/>
          <w:sz w:val="20"/>
          <w:szCs w:val="20"/>
          <w:lang w:eastAsia="ru-RU"/>
        </w:rPr>
        <w:br/>
      </w:r>
      <w:r w:rsidRPr="00235464">
        <w:rPr>
          <w:rFonts w:ascii="Tahoma" w:eastAsia="Times New Roman" w:hAnsi="Tahoma" w:cs="Tahoma"/>
          <w:color w:val="5E6D81"/>
          <w:sz w:val="20"/>
          <w:szCs w:val="20"/>
          <w:lang w:eastAsia="ru-RU"/>
        </w:rPr>
        <w:br/>
        <w:t>3.1. Основой для разработки проекта бюджета Дербишевского сельского поселения на очередной финансовый год являются:</w:t>
      </w:r>
      <w:r w:rsidRPr="00235464">
        <w:rPr>
          <w:rFonts w:ascii="Tahoma" w:eastAsia="Times New Roman" w:hAnsi="Tahoma" w:cs="Tahoma"/>
          <w:color w:val="5E6D81"/>
          <w:sz w:val="20"/>
          <w:szCs w:val="20"/>
          <w:lang w:eastAsia="ru-RU"/>
        </w:rPr>
        <w:br/>
        <w:t>- Бюджетное послание Президента Российской Федерации;</w:t>
      </w:r>
      <w:r w:rsidRPr="00235464">
        <w:rPr>
          <w:rFonts w:ascii="Tahoma" w:eastAsia="Times New Roman" w:hAnsi="Tahoma" w:cs="Tahoma"/>
          <w:color w:val="5E6D81"/>
          <w:sz w:val="20"/>
          <w:szCs w:val="20"/>
          <w:lang w:eastAsia="ru-RU"/>
        </w:rPr>
        <w:br/>
        <w:t>- прогноз социально-экономического развития Дербишевского сельского поселения на очередной финансовый год;</w:t>
      </w:r>
      <w:r w:rsidRPr="00235464">
        <w:rPr>
          <w:rFonts w:ascii="Tahoma" w:eastAsia="Times New Roman" w:hAnsi="Tahoma" w:cs="Tahoma"/>
          <w:color w:val="5E6D81"/>
          <w:sz w:val="20"/>
          <w:szCs w:val="20"/>
          <w:lang w:eastAsia="ru-RU"/>
        </w:rPr>
        <w:br/>
        <w:t>- основные направления бюджетной и налоговой в Дербишевском сельском поселении;</w:t>
      </w:r>
      <w:r w:rsidRPr="00235464">
        <w:rPr>
          <w:rFonts w:ascii="Tahoma" w:eastAsia="Times New Roman" w:hAnsi="Tahoma" w:cs="Tahoma"/>
          <w:color w:val="5E6D81"/>
          <w:sz w:val="20"/>
          <w:szCs w:val="20"/>
          <w:lang w:eastAsia="ru-RU"/>
        </w:rPr>
        <w:br/>
        <w:t>- муниципальные программы Дербишевского сельского поселения;</w:t>
      </w:r>
      <w:r w:rsidRPr="00235464">
        <w:rPr>
          <w:rFonts w:ascii="Tahoma" w:eastAsia="Times New Roman" w:hAnsi="Tahoma" w:cs="Tahoma"/>
          <w:color w:val="5E6D81"/>
          <w:sz w:val="20"/>
          <w:szCs w:val="20"/>
          <w:lang w:eastAsia="ru-RU"/>
        </w:rPr>
        <w:br/>
        <w:t>- изменения бюджетного и налогового законодательства Российской Федерации, Правительства;</w:t>
      </w:r>
      <w:r w:rsidRPr="00235464">
        <w:rPr>
          <w:rFonts w:ascii="Tahoma" w:eastAsia="Times New Roman" w:hAnsi="Tahoma" w:cs="Tahoma"/>
          <w:color w:val="5E6D81"/>
          <w:sz w:val="20"/>
          <w:szCs w:val="20"/>
          <w:lang w:eastAsia="ru-RU"/>
        </w:rPr>
        <w:br/>
        <w:t>- изменения объемов безвозмездных поступлений;</w:t>
      </w:r>
      <w:r w:rsidRPr="00235464">
        <w:rPr>
          <w:rFonts w:ascii="Tahoma" w:eastAsia="Times New Roman" w:hAnsi="Tahoma" w:cs="Tahoma"/>
          <w:color w:val="5E6D81"/>
          <w:sz w:val="20"/>
          <w:szCs w:val="20"/>
          <w:lang w:eastAsia="ru-RU"/>
        </w:rPr>
        <w:br/>
        <w:t>- изменения процентных ставок по долговым обязательствам Дербишевского сельского поселения, наступающим в очередном финансовом году;</w:t>
      </w:r>
      <w:r w:rsidRPr="00235464">
        <w:rPr>
          <w:rFonts w:ascii="Tahoma" w:eastAsia="Times New Roman" w:hAnsi="Tahoma" w:cs="Tahoma"/>
          <w:color w:val="5E6D81"/>
          <w:sz w:val="20"/>
          <w:szCs w:val="20"/>
          <w:lang w:eastAsia="ru-RU"/>
        </w:rPr>
        <w:br/>
        <w:t>- изменения объема и (или) структуры расходных обязательств.</w:t>
      </w:r>
      <w:r w:rsidRPr="00235464">
        <w:rPr>
          <w:rFonts w:ascii="Tahoma" w:eastAsia="Times New Roman" w:hAnsi="Tahoma" w:cs="Tahoma"/>
          <w:color w:val="5E6D81"/>
          <w:sz w:val="20"/>
          <w:szCs w:val="20"/>
          <w:lang w:eastAsia="ru-RU"/>
        </w:rPr>
        <w:br/>
        <w:t>3.2. Прогнозирование налоговых и неналоговых доходов на очередной финансовый год и на плановый период осуществляется администрацией Дербишевского сельского поселения в соответствии с Методикой прогнозирования доходов бюджета Дербишевского сельского поселения, утвержденной настоящим постановлением.</w:t>
      </w:r>
      <w:r w:rsidRPr="00235464">
        <w:rPr>
          <w:rFonts w:ascii="Tahoma" w:eastAsia="Times New Roman" w:hAnsi="Tahoma" w:cs="Tahoma"/>
          <w:color w:val="5E6D81"/>
          <w:sz w:val="20"/>
          <w:szCs w:val="20"/>
          <w:lang w:eastAsia="ru-RU"/>
        </w:rPr>
        <w:br/>
        <w:t>3.3. Планирование бюджетных ассигнований на очередной финансовый год и на плановый период осуществляется в порядке и в соответствии с методикой.</w:t>
      </w:r>
      <w:r w:rsidRPr="00235464">
        <w:rPr>
          <w:rFonts w:ascii="Tahoma" w:eastAsia="Times New Roman" w:hAnsi="Tahoma" w:cs="Tahoma"/>
          <w:color w:val="5E6D81"/>
          <w:sz w:val="20"/>
          <w:szCs w:val="20"/>
          <w:lang w:eastAsia="ru-RU"/>
        </w:rPr>
        <w:br/>
        <w:t>3.4. Составление проекта бюджета Дербишевского сельского поселения на очередной финансовый год  осуществляется в соответствии с прилагаемым к Порядку календарным планом подготовки и рассмотрения в текущем финансовом году проектов решений, документов и материалов, разрабатываемых при составлении проекта бюджета на очередной финансовый год (далее – Календарный план).</w:t>
      </w:r>
      <w:r w:rsidRPr="00235464">
        <w:rPr>
          <w:rFonts w:ascii="Tahoma" w:eastAsia="Times New Roman" w:hAnsi="Tahoma" w:cs="Tahoma"/>
          <w:color w:val="5E6D81"/>
          <w:sz w:val="20"/>
          <w:szCs w:val="20"/>
          <w:lang w:eastAsia="ru-RU"/>
        </w:rPr>
        <w:br/>
        <w:t>Администрация Дербишевского сельского поселения доводит до получателей средств бюджета Дербишевского сельского поселения сроки формирования получателями средств бюджета Дербишевского сельского поселения бюджетных ассигнований, документов и материалов для представления в администрацию Дербишевского сельского поселения при составлении проекта бюджета Дербишевского сельского поселения на очередной финансовый год в соответствии с Календарным планом, а также порядком и методикой планирования бюджетных ассигнований бюджета Дербишевского сельского поселения на очередной финансовый год.                    </w:t>
      </w:r>
      <w:r w:rsidRPr="00235464">
        <w:rPr>
          <w:rFonts w:ascii="Tahoma" w:eastAsia="Times New Roman" w:hAnsi="Tahoma" w:cs="Tahoma"/>
          <w:color w:val="5E6D81"/>
          <w:sz w:val="20"/>
          <w:szCs w:val="20"/>
          <w:lang w:eastAsia="ru-RU"/>
        </w:rPr>
        <w:br/>
        <w:t>3.5. Объем условно утвержденных расходов, установленный решением о бюджете Дербишевского сельского поселения, направляется на финансовое обеспечение следующих направлений расходования средств бюджета Дербишевского сельского поселения в порядке убывания приоритета:</w:t>
      </w:r>
      <w:r w:rsidRPr="00235464">
        <w:rPr>
          <w:rFonts w:ascii="Tahoma" w:eastAsia="Times New Roman" w:hAnsi="Tahoma" w:cs="Tahoma"/>
          <w:color w:val="5E6D81"/>
          <w:sz w:val="20"/>
          <w:szCs w:val="20"/>
          <w:lang w:eastAsia="ru-RU"/>
        </w:rPr>
        <w:br/>
        <w:t>- на осуществление расходов, связанных с исполнением судебных актов, вступивших в законную силу;</w:t>
      </w:r>
      <w:r w:rsidRPr="00235464">
        <w:rPr>
          <w:rFonts w:ascii="Tahoma" w:eastAsia="Times New Roman" w:hAnsi="Tahoma" w:cs="Tahoma"/>
          <w:color w:val="5E6D81"/>
          <w:sz w:val="20"/>
          <w:szCs w:val="20"/>
          <w:lang w:eastAsia="ru-RU"/>
        </w:rPr>
        <w:br/>
        <w:t>- на исполнение обязательных требований, установленных изменением федерального законодательства;</w:t>
      </w:r>
      <w:r w:rsidRPr="00235464">
        <w:rPr>
          <w:rFonts w:ascii="Tahoma" w:eastAsia="Times New Roman" w:hAnsi="Tahoma" w:cs="Tahoma"/>
          <w:color w:val="5E6D81"/>
          <w:sz w:val="20"/>
          <w:szCs w:val="20"/>
          <w:lang w:eastAsia="ru-RU"/>
        </w:rPr>
        <w:br/>
      </w:r>
      <w:r w:rsidRPr="00235464">
        <w:rPr>
          <w:rFonts w:ascii="Tahoma" w:eastAsia="Times New Roman" w:hAnsi="Tahoma" w:cs="Tahoma"/>
          <w:color w:val="5E6D81"/>
          <w:sz w:val="20"/>
          <w:szCs w:val="20"/>
          <w:lang w:eastAsia="ru-RU"/>
        </w:rPr>
        <w:lastRenderedPageBreak/>
        <w:t>- на выделение бюджетных ассигнований на расходные обязательства по принимаемым публичным и публичным нормативным обязательствам;</w:t>
      </w:r>
      <w:r w:rsidRPr="00235464">
        <w:rPr>
          <w:rFonts w:ascii="Tahoma" w:eastAsia="Times New Roman" w:hAnsi="Tahoma" w:cs="Tahoma"/>
          <w:color w:val="5E6D81"/>
          <w:sz w:val="20"/>
          <w:szCs w:val="20"/>
          <w:lang w:eastAsia="ru-RU"/>
        </w:rPr>
        <w:br/>
        <w:t>- на осуществление расходов на обслуживание муниципального долга Дербишевского сельского поселения;</w:t>
      </w:r>
      <w:r w:rsidRPr="00235464">
        <w:rPr>
          <w:rFonts w:ascii="Tahoma" w:eastAsia="Times New Roman" w:hAnsi="Tahoma" w:cs="Tahoma"/>
          <w:color w:val="5E6D81"/>
          <w:sz w:val="20"/>
          <w:szCs w:val="20"/>
          <w:lang w:eastAsia="ru-RU"/>
        </w:rPr>
        <w:br/>
        <w:t>- на увеличение объемов бюджетных ассигнований на исполнение действующих расходных обязательств, рассчитанных нормативным методом, методом индексации;</w:t>
      </w:r>
      <w:r w:rsidRPr="00235464">
        <w:rPr>
          <w:rFonts w:ascii="Tahoma" w:eastAsia="Times New Roman" w:hAnsi="Tahoma" w:cs="Tahoma"/>
          <w:color w:val="5E6D81"/>
          <w:sz w:val="20"/>
          <w:szCs w:val="20"/>
          <w:lang w:eastAsia="ru-RU"/>
        </w:rPr>
        <w:br/>
        <w:t>- на финансовое обеспечение принимаемых расходных обязательств.</w:t>
      </w:r>
      <w:r w:rsidRPr="00235464">
        <w:rPr>
          <w:rFonts w:ascii="Tahoma" w:eastAsia="Times New Roman" w:hAnsi="Tahoma" w:cs="Tahoma"/>
          <w:color w:val="5E6D81"/>
          <w:sz w:val="20"/>
          <w:szCs w:val="20"/>
          <w:lang w:eastAsia="ru-RU"/>
        </w:rPr>
        <w:br/>
        <w:t>3.6. При формировании проекта бюджета Дербишевского сельского поселения на очередной финансовый год утвержденный решением Совета депутатов о бюджете Дербишевского сельского поселения объем условно утвержденных расходов:</w:t>
      </w:r>
      <w:r w:rsidRPr="00235464">
        <w:rPr>
          <w:rFonts w:ascii="Tahoma" w:eastAsia="Times New Roman" w:hAnsi="Tahoma" w:cs="Tahoma"/>
          <w:color w:val="5E6D81"/>
          <w:sz w:val="20"/>
          <w:szCs w:val="20"/>
          <w:lang w:eastAsia="ru-RU"/>
        </w:rPr>
        <w:br/>
        <w:t>а) может перед распределением подлежать корректировке на сумму увеличения (уменьшения) прогнозируемого объема налоговых и неналоговых доходов на очередной финансовый год по сравнению с утвержденным Решением Совета депутатов Дербишевского сельского поселения о бюджете Дербишевского сельского поселения объемом налоговых и неналоговых доходов на плановый период;</w:t>
      </w:r>
      <w:r w:rsidRPr="00235464">
        <w:rPr>
          <w:rFonts w:ascii="Tahoma" w:eastAsia="Times New Roman" w:hAnsi="Tahoma" w:cs="Tahoma"/>
          <w:color w:val="5E6D81"/>
          <w:sz w:val="20"/>
          <w:szCs w:val="20"/>
          <w:lang w:eastAsia="ru-RU"/>
        </w:rPr>
        <w:br/>
      </w:r>
      <w:r w:rsidRPr="00235464">
        <w:rPr>
          <w:rFonts w:ascii="Tahoma" w:eastAsia="Times New Roman" w:hAnsi="Tahoma" w:cs="Tahoma"/>
          <w:color w:val="5E6D81"/>
          <w:sz w:val="20"/>
          <w:szCs w:val="20"/>
          <w:lang w:eastAsia="ru-RU"/>
        </w:rPr>
        <w:br/>
      </w:r>
      <w:r w:rsidRPr="00235464">
        <w:rPr>
          <w:rFonts w:ascii="Tahoma" w:eastAsia="Times New Roman" w:hAnsi="Tahoma" w:cs="Tahoma"/>
          <w:color w:val="5E6D81"/>
          <w:sz w:val="20"/>
          <w:szCs w:val="20"/>
          <w:lang w:eastAsia="ru-RU"/>
        </w:rPr>
        <w:br/>
        <w:t>                       </w:t>
      </w:r>
    </w:p>
    <w:p w:rsidR="00235464" w:rsidRPr="00235464" w:rsidRDefault="00235464" w:rsidP="00235464">
      <w:pPr>
        <w:shd w:val="clear" w:color="auto" w:fill="FFFFFF"/>
        <w:spacing w:after="0" w:line="240" w:lineRule="auto"/>
        <w:jc w:val="right"/>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УТВЕРЖДЕНА </w:t>
      </w:r>
    </w:p>
    <w:p w:rsidR="00235464" w:rsidRPr="00235464" w:rsidRDefault="00235464" w:rsidP="00235464">
      <w:pPr>
        <w:shd w:val="clear" w:color="auto" w:fill="FFFFFF"/>
        <w:spacing w:after="0" w:line="240" w:lineRule="auto"/>
        <w:jc w:val="right"/>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постановлением администрации</w:t>
      </w:r>
      <w:r w:rsidRPr="00235464">
        <w:rPr>
          <w:rFonts w:ascii="Tahoma" w:eastAsia="Times New Roman" w:hAnsi="Tahoma" w:cs="Tahoma"/>
          <w:color w:val="5E6D81"/>
          <w:sz w:val="20"/>
          <w:szCs w:val="20"/>
          <w:lang w:eastAsia="ru-RU"/>
        </w:rPr>
        <w:br/>
        <w:t>                          сельского Дербишевского поселения </w:t>
      </w:r>
    </w:p>
    <w:p w:rsidR="00235464" w:rsidRPr="00235464" w:rsidRDefault="00235464" w:rsidP="00235464">
      <w:pPr>
        <w:shd w:val="clear" w:color="auto" w:fill="FFFFFF"/>
        <w:spacing w:after="0" w:line="240" w:lineRule="auto"/>
        <w:jc w:val="right"/>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от 15.08.2016 № 161</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b/>
          <w:bCs/>
          <w:color w:val="5E6D81"/>
          <w:sz w:val="20"/>
          <w:szCs w:val="20"/>
          <w:lang w:eastAsia="ru-RU"/>
        </w:rPr>
        <w:t>Методика</w:t>
      </w:r>
      <w:r w:rsidRPr="00235464">
        <w:rPr>
          <w:rFonts w:ascii="Tahoma" w:eastAsia="Times New Roman" w:hAnsi="Tahoma" w:cs="Tahoma"/>
          <w:color w:val="5E6D81"/>
          <w:sz w:val="20"/>
          <w:szCs w:val="20"/>
          <w:lang w:eastAsia="ru-RU"/>
        </w:rPr>
        <w:br/>
      </w:r>
      <w:r w:rsidRPr="00235464">
        <w:rPr>
          <w:rFonts w:ascii="Tahoma" w:eastAsia="Times New Roman" w:hAnsi="Tahoma" w:cs="Tahoma"/>
          <w:b/>
          <w:bCs/>
          <w:color w:val="5E6D81"/>
          <w:sz w:val="20"/>
          <w:szCs w:val="20"/>
          <w:lang w:eastAsia="ru-RU"/>
        </w:rPr>
        <w:t>прогнозирования доходов бюджета Дербишевского сельского поселения</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 Общие положения</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Настоящая Методика прогнозирования доходов бюджета Дербишевского сельского поселения (далее – Методика) разработана в целях осуществления формализованного подхода к прогнозированию налоговых и неналоговых доходов бюджета Дербишевского сельского поселения (далее по тексту - доходы бюджета) на очередной финансовый год. </w:t>
      </w:r>
      <w:r w:rsidRPr="00235464">
        <w:rPr>
          <w:rFonts w:ascii="Tahoma" w:eastAsia="Times New Roman" w:hAnsi="Tahoma" w:cs="Tahoma"/>
          <w:color w:val="5E6D81"/>
          <w:sz w:val="20"/>
          <w:szCs w:val="20"/>
          <w:lang w:eastAsia="ru-RU"/>
        </w:rPr>
        <w:br/>
        <w:t>Методика применяется для расчета прогноза доходов бюджета Дербишевского сельского поселения при составлении проекта решения о бюджете Дербишевского сельского поселения на очередной финансовый год.</w:t>
      </w:r>
      <w:r w:rsidRPr="00235464">
        <w:rPr>
          <w:rFonts w:ascii="Tahoma" w:eastAsia="Times New Roman" w:hAnsi="Tahoma" w:cs="Tahoma"/>
          <w:color w:val="5E6D81"/>
          <w:sz w:val="20"/>
          <w:szCs w:val="20"/>
          <w:lang w:eastAsia="ru-RU"/>
        </w:rPr>
        <w:br/>
        <w:t>В основу прогноза доходов бюджета заложены принципы достоверности, полноты и прозрачности.</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2. Общие понятия, термины и сокращения</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В рамках настоящей Методики используются следующие понятия, термины и сокращения:</w:t>
      </w:r>
      <w:r w:rsidRPr="00235464">
        <w:rPr>
          <w:rFonts w:ascii="Tahoma" w:eastAsia="Times New Roman" w:hAnsi="Tahoma" w:cs="Tahoma"/>
          <w:color w:val="5E6D81"/>
          <w:sz w:val="20"/>
          <w:szCs w:val="20"/>
          <w:lang w:eastAsia="ru-RU"/>
        </w:rPr>
        <w:br/>
        <w:t>ПДi - прогноз поступлений доходов в бюджет i-го налога;</w:t>
      </w:r>
      <w:r w:rsidRPr="00235464">
        <w:rPr>
          <w:rFonts w:ascii="Tahoma" w:eastAsia="Times New Roman" w:hAnsi="Tahoma" w:cs="Tahoma"/>
          <w:color w:val="5E6D81"/>
          <w:sz w:val="20"/>
          <w:szCs w:val="20"/>
          <w:lang w:eastAsia="ru-RU"/>
        </w:rPr>
        <w:br/>
        <w:t>НБ - налоговая база - стоимостная, физическая или иная характеристика объекта налогообложения соответствующего налога;</w:t>
      </w:r>
      <w:r w:rsidRPr="00235464">
        <w:rPr>
          <w:rFonts w:ascii="Tahoma" w:eastAsia="Times New Roman" w:hAnsi="Tahoma" w:cs="Tahoma"/>
          <w:color w:val="5E6D81"/>
          <w:sz w:val="20"/>
          <w:szCs w:val="20"/>
          <w:lang w:eastAsia="ru-RU"/>
        </w:rPr>
        <w:br/>
        <w:t>Ст - налоговая ставка - величина налоговых начислений на единицу измерения налоговой базы;</w:t>
      </w:r>
      <w:r w:rsidRPr="00235464">
        <w:rPr>
          <w:rFonts w:ascii="Tahoma" w:eastAsia="Times New Roman" w:hAnsi="Tahoma" w:cs="Tahoma"/>
          <w:color w:val="5E6D81"/>
          <w:sz w:val="20"/>
          <w:szCs w:val="20"/>
          <w:lang w:eastAsia="ru-RU"/>
        </w:rPr>
        <w:br/>
        <w:t>Но - норматив отчислений в бюджет поселения, установленный федеральным законодательством и законодательством Челябинской области;</w:t>
      </w:r>
      <w:r w:rsidRPr="00235464">
        <w:rPr>
          <w:rFonts w:ascii="Tahoma" w:eastAsia="Times New Roman" w:hAnsi="Tahoma" w:cs="Tahoma"/>
          <w:color w:val="5E6D81"/>
          <w:sz w:val="20"/>
          <w:szCs w:val="20"/>
          <w:lang w:eastAsia="ru-RU"/>
        </w:rPr>
        <w:br/>
        <w:t>Нбож - ожидаемые поступления доходов за текущий финансовый год;</w:t>
      </w:r>
      <w:r w:rsidRPr="00235464">
        <w:rPr>
          <w:rFonts w:ascii="Tahoma" w:eastAsia="Times New Roman" w:hAnsi="Tahoma" w:cs="Tahoma"/>
          <w:color w:val="5E6D81"/>
          <w:sz w:val="20"/>
          <w:szCs w:val="20"/>
          <w:lang w:eastAsia="ru-RU"/>
        </w:rPr>
        <w:br/>
        <w:t>Пфакт - фактическое поступление доходов за последний отчетный период текущего финансового года;</w:t>
      </w:r>
      <w:r w:rsidRPr="00235464">
        <w:rPr>
          <w:rFonts w:ascii="Tahoma" w:eastAsia="Times New Roman" w:hAnsi="Tahoma" w:cs="Tahoma"/>
          <w:color w:val="5E6D81"/>
          <w:sz w:val="20"/>
          <w:szCs w:val="20"/>
          <w:lang w:eastAsia="ru-RU"/>
        </w:rPr>
        <w:br/>
        <w:t>Изак - сумма налога, планируемая к поступлению (выпадающая - со знаком «-») в связи с изменением федерального и (или) регионального законодательства в очередном финансовом году по сравнению с текущим финансовым годом; </w:t>
      </w:r>
      <w:r w:rsidRPr="00235464">
        <w:rPr>
          <w:rFonts w:ascii="Tahoma" w:eastAsia="Times New Roman" w:hAnsi="Tahoma" w:cs="Tahoma"/>
          <w:color w:val="5E6D81"/>
          <w:sz w:val="20"/>
          <w:szCs w:val="20"/>
          <w:lang w:eastAsia="ru-RU"/>
        </w:rPr>
        <w:br/>
        <w:t>Кс - коэффициент собираемости;</w:t>
      </w:r>
      <w:r w:rsidRPr="00235464">
        <w:rPr>
          <w:rFonts w:ascii="Tahoma" w:eastAsia="Times New Roman" w:hAnsi="Tahoma" w:cs="Tahoma"/>
          <w:color w:val="5E6D81"/>
          <w:sz w:val="20"/>
          <w:szCs w:val="20"/>
          <w:lang w:eastAsia="ru-RU"/>
        </w:rPr>
        <w:br/>
        <w:t>ИПЦ - индекс потребительских цен;</w:t>
      </w:r>
      <w:r w:rsidRPr="00235464">
        <w:rPr>
          <w:rFonts w:ascii="Tahoma" w:eastAsia="Times New Roman" w:hAnsi="Tahoma" w:cs="Tahoma"/>
          <w:color w:val="5E6D81"/>
          <w:sz w:val="20"/>
          <w:szCs w:val="20"/>
          <w:lang w:eastAsia="ru-RU"/>
        </w:rPr>
        <w:br/>
        <w:t>Нд - планируемый объем погашения недоимки прошлых лет.</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 Основные положения прогноза доходов бюджета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3.1. Расчет доходов бюджета Дербишевского сельского поселения производится по каждому доходному источнику.</w:t>
      </w:r>
      <w:r w:rsidRPr="00235464">
        <w:rPr>
          <w:rFonts w:ascii="Tahoma" w:eastAsia="Times New Roman" w:hAnsi="Tahoma" w:cs="Tahoma"/>
          <w:color w:val="5E6D81"/>
          <w:sz w:val="20"/>
          <w:szCs w:val="20"/>
          <w:lang w:eastAsia="ru-RU"/>
        </w:rPr>
        <w:br/>
        <w:t>3.2. Прогноз доходов бюджета основывается на прогнозе социально-экономического развития Дербишевского сельского поселения на очередной финансовый год и на плановый период (далее – Прогноз социально-экономического развития).</w:t>
      </w:r>
      <w:r w:rsidRPr="00235464">
        <w:rPr>
          <w:rFonts w:ascii="Tahoma" w:eastAsia="Times New Roman" w:hAnsi="Tahoma" w:cs="Tahoma"/>
          <w:color w:val="5E6D81"/>
          <w:sz w:val="20"/>
          <w:szCs w:val="20"/>
          <w:lang w:eastAsia="ru-RU"/>
        </w:rPr>
        <w:br/>
        <w:t>При прогнозе доходов учитываются:</w:t>
      </w:r>
      <w:r w:rsidRPr="00235464">
        <w:rPr>
          <w:rFonts w:ascii="Tahoma" w:eastAsia="Times New Roman" w:hAnsi="Tahoma" w:cs="Tahoma"/>
          <w:color w:val="5E6D81"/>
          <w:sz w:val="20"/>
          <w:szCs w:val="20"/>
          <w:lang w:eastAsia="ru-RU"/>
        </w:rPr>
        <w:br/>
        <w:t xml:space="preserve">- нормативы отчислений в бюджет поселения от федеральных налогов и сборов, налогов, предусмотренных специальными налоговыми режимами, и региональных налогов, установленные </w:t>
      </w:r>
      <w:r w:rsidRPr="00235464">
        <w:rPr>
          <w:rFonts w:ascii="Tahoma" w:eastAsia="Times New Roman" w:hAnsi="Tahoma" w:cs="Tahoma"/>
          <w:color w:val="5E6D81"/>
          <w:sz w:val="20"/>
          <w:szCs w:val="20"/>
          <w:lang w:eastAsia="ru-RU"/>
        </w:rPr>
        <w:lastRenderedPageBreak/>
        <w:t>бюджетным законодательством Российской Федерации;</w:t>
      </w:r>
      <w:r w:rsidRPr="00235464">
        <w:rPr>
          <w:rFonts w:ascii="Tahoma" w:eastAsia="Times New Roman" w:hAnsi="Tahoma" w:cs="Tahoma"/>
          <w:color w:val="5E6D81"/>
          <w:sz w:val="20"/>
          <w:szCs w:val="20"/>
          <w:lang w:eastAsia="ru-RU"/>
        </w:rPr>
        <w:br/>
        <w:t>- налоговые ставки;</w:t>
      </w:r>
      <w:r w:rsidRPr="00235464">
        <w:rPr>
          <w:rFonts w:ascii="Tahoma" w:eastAsia="Times New Roman" w:hAnsi="Tahoma" w:cs="Tahoma"/>
          <w:color w:val="5E6D81"/>
          <w:sz w:val="20"/>
          <w:szCs w:val="20"/>
          <w:lang w:eastAsia="ru-RU"/>
        </w:rPr>
        <w:br/>
        <w:t>- оценка результатов изменений налогового и бюджетного законодательства Российской Федерации, вступающих в силу с начала очередного финансового года.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3.3. Сведения, необходимые для прогноза доходов бюджета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К сведениям, необходимым для прогноза доходов бюджета, относятся:</w:t>
      </w:r>
      <w:r w:rsidRPr="00235464">
        <w:rPr>
          <w:rFonts w:ascii="Tahoma" w:eastAsia="Times New Roman" w:hAnsi="Tahoma" w:cs="Tahoma"/>
          <w:color w:val="5E6D81"/>
          <w:sz w:val="20"/>
          <w:szCs w:val="20"/>
          <w:lang w:eastAsia="ru-RU"/>
        </w:rPr>
        <w:br/>
        <w:t>- отчеты Межрайонной ИФНС России № 22 по Челябинской области о налоговой базе и структуре начислений по основным видам налогов;</w:t>
      </w:r>
      <w:r w:rsidRPr="00235464">
        <w:rPr>
          <w:rFonts w:ascii="Tahoma" w:eastAsia="Times New Roman" w:hAnsi="Tahoma" w:cs="Tahoma"/>
          <w:color w:val="5E6D81"/>
          <w:sz w:val="20"/>
          <w:szCs w:val="20"/>
          <w:lang w:eastAsia="ru-RU"/>
        </w:rPr>
        <w:br/>
        <w:t>- отчеты об исполнении бюджета Дербишевского сельского поселения;</w:t>
      </w:r>
      <w:r w:rsidRPr="00235464">
        <w:rPr>
          <w:rFonts w:ascii="Tahoma" w:eastAsia="Times New Roman" w:hAnsi="Tahoma" w:cs="Tahoma"/>
          <w:color w:val="5E6D81"/>
          <w:sz w:val="20"/>
          <w:szCs w:val="20"/>
          <w:lang w:eastAsia="ru-RU"/>
        </w:rPr>
        <w:br/>
        <w:t>- данные о фактическом поступлении доходов бюджета по видам налогов в динамике лет и за отчетные периоды текущего финансового года;</w:t>
      </w:r>
      <w:r w:rsidRPr="00235464">
        <w:rPr>
          <w:rFonts w:ascii="Tahoma" w:eastAsia="Times New Roman" w:hAnsi="Tahoma" w:cs="Tahoma"/>
          <w:color w:val="5E6D81"/>
          <w:sz w:val="20"/>
          <w:szCs w:val="20"/>
          <w:lang w:eastAsia="ru-RU"/>
        </w:rPr>
        <w:br/>
        <w:t>- данные о сумме недоимки по доходам в разрезе основных видов налогов;</w:t>
      </w:r>
      <w:r w:rsidRPr="00235464">
        <w:rPr>
          <w:rFonts w:ascii="Tahoma" w:eastAsia="Times New Roman" w:hAnsi="Tahoma" w:cs="Tahoma"/>
          <w:color w:val="5E6D81"/>
          <w:sz w:val="20"/>
          <w:szCs w:val="20"/>
          <w:lang w:eastAsia="ru-RU"/>
        </w:rPr>
        <w:br/>
        <w:t>- расчет ожидаемого поступления доходов в текущем финансовом году;</w:t>
      </w:r>
      <w:r w:rsidRPr="00235464">
        <w:rPr>
          <w:rFonts w:ascii="Tahoma" w:eastAsia="Times New Roman" w:hAnsi="Tahoma" w:cs="Tahoma"/>
          <w:color w:val="5E6D81"/>
          <w:sz w:val="20"/>
          <w:szCs w:val="20"/>
          <w:lang w:eastAsia="ru-RU"/>
        </w:rPr>
        <w:br/>
        <w:t>- иные сведения, необходимые для расчета доходов бюджета.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3.4. Методы расчетов, применяемые при прогнозировании доходов бюджета</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Для прогнозирования доходов бюджета применяются следующие методы расчетов:</w:t>
      </w:r>
      <w:r w:rsidRPr="00235464">
        <w:rPr>
          <w:rFonts w:ascii="Tahoma" w:eastAsia="Times New Roman" w:hAnsi="Tahoma" w:cs="Tahoma"/>
          <w:color w:val="5E6D81"/>
          <w:sz w:val="20"/>
          <w:szCs w:val="20"/>
          <w:lang w:eastAsia="ru-RU"/>
        </w:rPr>
        <w:br/>
        <w:t>- метод временного тренда.</w:t>
      </w:r>
      <w:r w:rsidRPr="00235464">
        <w:rPr>
          <w:rFonts w:ascii="Tahoma" w:eastAsia="Times New Roman" w:hAnsi="Tahoma" w:cs="Tahoma"/>
          <w:color w:val="5E6D81"/>
          <w:sz w:val="20"/>
          <w:szCs w:val="20"/>
          <w:lang w:eastAsia="ru-RU"/>
        </w:rPr>
        <w:br/>
        <w:t>Данный метод может быть применен при условии допущения, что изменение поступления налога в динамике лет сохранится и в периоде, на который составляется прогноз;</w:t>
      </w:r>
      <w:r w:rsidRPr="00235464">
        <w:rPr>
          <w:rFonts w:ascii="Tahoma" w:eastAsia="Times New Roman" w:hAnsi="Tahoma" w:cs="Tahoma"/>
          <w:color w:val="5E6D81"/>
          <w:sz w:val="20"/>
          <w:szCs w:val="20"/>
          <w:lang w:eastAsia="ru-RU"/>
        </w:rPr>
        <w:br/>
        <w:t>- метод многофакторного прогнозирования. </w:t>
      </w:r>
      <w:r w:rsidRPr="00235464">
        <w:rPr>
          <w:rFonts w:ascii="Tahoma" w:eastAsia="Times New Roman" w:hAnsi="Tahoma" w:cs="Tahoma"/>
          <w:color w:val="5E6D81"/>
          <w:sz w:val="20"/>
          <w:szCs w:val="20"/>
          <w:lang w:eastAsia="ru-RU"/>
        </w:rPr>
        <w:br/>
        <w:t>Применяется с учетом макроэкономических показателей и факторов, связанных с изменением бюджетного и налогового законодательства РФ.</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3.5. Расчет ожидаемого поступления доходов за текущий финансовый год</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Ожидаемый объем поступлений доходов за текущий финансовый год рассчитывается исходя из фактических поступлений доходов за отчетный период текущего финансового года, по данным ежемесячного отчета об исполнении бюджета Дербишевского сельского поселения, и средней доли аналогичных поступлений налогов в годовых суммах в динамике лет.</w:t>
      </w:r>
      <w:r w:rsidRPr="00235464">
        <w:rPr>
          <w:rFonts w:ascii="Tahoma" w:eastAsia="Times New Roman" w:hAnsi="Tahoma" w:cs="Tahoma"/>
          <w:color w:val="5E6D81"/>
          <w:sz w:val="20"/>
          <w:szCs w:val="20"/>
          <w:lang w:eastAsia="ru-RU"/>
        </w:rPr>
        <w:br/>
        <w:t>Кроме того, учитывается информация о сроках уплаты налогов, установленных Налоговым кодексом Российской Федерации.</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3.6. Расчет планируемого объема погашения недоимки</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Расчет планируемого погашения недоимки осуществляется на основании информации, получаемой в соответствии с Правилами взаимодействия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12.08.2004 № 410, по следующей формуле:</w:t>
      </w:r>
      <w:r w:rsidRPr="00235464">
        <w:rPr>
          <w:rFonts w:ascii="Tahoma" w:eastAsia="Times New Roman" w:hAnsi="Tahoma" w:cs="Tahoma"/>
          <w:color w:val="5E6D81"/>
          <w:sz w:val="20"/>
          <w:szCs w:val="20"/>
          <w:lang w:eastAsia="ru-RU"/>
        </w:rPr>
        <w:br/>
        <w:t>Нд = Ндфакт – Ндбаз, где: </w:t>
      </w:r>
      <w:r w:rsidRPr="00235464">
        <w:rPr>
          <w:rFonts w:ascii="Tahoma" w:eastAsia="Times New Roman" w:hAnsi="Tahoma" w:cs="Tahoma"/>
          <w:color w:val="5E6D81"/>
          <w:sz w:val="20"/>
          <w:szCs w:val="20"/>
          <w:lang w:eastAsia="ru-RU"/>
        </w:rPr>
        <w:br/>
        <w:t>Ндфакт – фактический размер недоимки на отчетную дату текущего финансового года;</w:t>
      </w:r>
      <w:r w:rsidRPr="00235464">
        <w:rPr>
          <w:rFonts w:ascii="Tahoma" w:eastAsia="Times New Roman" w:hAnsi="Tahoma" w:cs="Tahoma"/>
          <w:color w:val="5E6D81"/>
          <w:sz w:val="20"/>
          <w:szCs w:val="20"/>
          <w:lang w:eastAsia="ru-RU"/>
        </w:rPr>
        <w:br/>
        <w:t>Ндбаз – фактический размер недоимки на начало текущего финансового года.</w:t>
      </w:r>
      <w:r w:rsidRPr="00235464">
        <w:rPr>
          <w:rFonts w:ascii="Tahoma" w:eastAsia="Times New Roman" w:hAnsi="Tahoma" w:cs="Tahoma"/>
          <w:color w:val="5E6D81"/>
          <w:sz w:val="20"/>
          <w:szCs w:val="20"/>
          <w:lang w:eastAsia="ru-RU"/>
        </w:rPr>
        <w:br/>
        <w:t>Планируемый объем погашения недоимки включается в расчет прогноза поступления доходов в случае, когда Нд принимает положительное значение.</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3.7. Расчет прогноза налоговой базы</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Расчет прогноза налоговой базы производится на основе данных отчета налоговых органов формы № 5 «О налоговой базе и структуре начислений» по соответствующему налогу за отчетный год с применением методов, перечисленных в пункте 3.4 настоящей Методики.</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4. Расчет поступлений по отдельным доходным источникам</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4.1. Расчет поступлений по налогу на доходы физических лиц</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Поступления налога на доходы физических лиц рассчитываются в соответствии с главой 23 Налогового кодекса Российской Федерации отдельно по налогу на доходы физических лиц, удерживаемому налоговыми агентами, и по остальным поступлениям по налогу на доходы физических лиц. </w:t>
      </w:r>
      <w:r w:rsidRPr="00235464">
        <w:rPr>
          <w:rFonts w:ascii="Tahoma" w:eastAsia="Times New Roman" w:hAnsi="Tahoma" w:cs="Tahoma"/>
          <w:color w:val="5E6D81"/>
          <w:sz w:val="20"/>
          <w:szCs w:val="20"/>
          <w:lang w:eastAsia="ru-RU"/>
        </w:rPr>
        <w:br/>
        <w:t>Для расчета используются налоговая отчетность по форме № 5-НДФЛ «О налоговой базе и структуре начислений по налогу на доходы физических лиц» за отчетный год, а также сведения, перечисленные в пункте 3.3 настоящей Методики. При расчете применяются методы расчетов, перечисленные в пункте 3.4 настоящей Методики.</w:t>
      </w:r>
      <w:r w:rsidRPr="00235464">
        <w:rPr>
          <w:rFonts w:ascii="Tahoma" w:eastAsia="Times New Roman" w:hAnsi="Tahoma" w:cs="Tahoma"/>
          <w:color w:val="5E6D81"/>
          <w:sz w:val="20"/>
          <w:szCs w:val="20"/>
          <w:lang w:eastAsia="ru-RU"/>
        </w:rPr>
        <w:br/>
        <w:t>Прогноз поступлений по налогу на доходы физических лиц осуществляется с учетом утвержденного законодательством Челябинской области норматива зачисления в бюджет поселения.</w:t>
      </w:r>
      <w:r w:rsidRPr="00235464">
        <w:rPr>
          <w:rFonts w:ascii="Tahoma" w:eastAsia="Times New Roman" w:hAnsi="Tahoma" w:cs="Tahoma"/>
          <w:color w:val="5E6D81"/>
          <w:sz w:val="20"/>
          <w:szCs w:val="20"/>
          <w:lang w:eastAsia="ru-RU"/>
        </w:rPr>
        <w:br/>
        <w:t>Расчет прогнозируемого объема доходов по указанному виду налога осуществляется по следующей формуле:</w:t>
      </w:r>
      <w:r w:rsidRPr="00235464">
        <w:rPr>
          <w:rFonts w:ascii="Tahoma" w:eastAsia="Times New Roman" w:hAnsi="Tahoma" w:cs="Tahoma"/>
          <w:color w:val="5E6D81"/>
          <w:sz w:val="20"/>
          <w:szCs w:val="20"/>
          <w:lang w:eastAsia="ru-RU"/>
        </w:rPr>
        <w:br/>
        <w:t>ПДндфл = (НБож +/- Изак) х ИПЦ x Ст x Но.</w:t>
      </w:r>
      <w:r w:rsidRPr="00235464">
        <w:rPr>
          <w:rFonts w:ascii="Tahoma" w:eastAsia="Times New Roman" w:hAnsi="Tahoma" w:cs="Tahoma"/>
          <w:color w:val="5E6D81"/>
          <w:sz w:val="20"/>
          <w:szCs w:val="20"/>
          <w:lang w:eastAsia="ru-RU"/>
        </w:rPr>
        <w:br/>
        <w:t xml:space="preserve">Прогноз налога на доходы физических лиц с доходов, полученных физическими лицами, </w:t>
      </w:r>
      <w:r w:rsidRPr="00235464">
        <w:rPr>
          <w:rFonts w:ascii="Tahoma" w:eastAsia="Times New Roman" w:hAnsi="Tahoma" w:cs="Tahoma"/>
          <w:color w:val="5E6D81"/>
          <w:sz w:val="20"/>
          <w:szCs w:val="20"/>
          <w:lang w:eastAsia="ru-RU"/>
        </w:rPr>
        <w:lastRenderedPageBreak/>
        <w:t>зарегистрированными в качестве индивидуальных предпринимателей, частных нотариусов и других лиц, занимающихся частной практикой, по остальным поступлениям по налогу на доходы физических лиц рассчитывается по следующей формуле:</w:t>
      </w:r>
      <w:r w:rsidRPr="00235464">
        <w:rPr>
          <w:rFonts w:ascii="Tahoma" w:eastAsia="Times New Roman" w:hAnsi="Tahoma" w:cs="Tahoma"/>
          <w:color w:val="5E6D81"/>
          <w:sz w:val="20"/>
          <w:szCs w:val="20"/>
          <w:lang w:eastAsia="ru-RU"/>
        </w:rPr>
        <w:br/>
        <w:t>ПДндфл = (НБож x ИПЦ) x Ст х Но.</w:t>
      </w:r>
      <w:r w:rsidRPr="00235464">
        <w:rPr>
          <w:rFonts w:ascii="Tahoma" w:eastAsia="Times New Roman" w:hAnsi="Tahoma" w:cs="Tahoma"/>
          <w:color w:val="5E6D81"/>
          <w:sz w:val="20"/>
          <w:szCs w:val="20"/>
          <w:lang w:eastAsia="ru-RU"/>
        </w:rPr>
        <w:br/>
        <w:t>Общий прогнозируемый объем поступлений в бюджет по налогу на доходы физических лиц определяется как сумма прогнозных поступлений каждого вида налога на доходы физических лиц.</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4.2. Расчет поступлений по единому сельскохозяйственному налогу</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Для расчета используются данные налоговой отчетности по форме № 5-ЕСХН                  «О налоговой базе и структуре начислений по единому сельскохозяйственному налогу» за отчетный год и сведения, перечисленные в пункте 3.3 настоящей Методики.</w:t>
      </w:r>
      <w:r w:rsidRPr="00235464">
        <w:rPr>
          <w:rFonts w:ascii="Tahoma" w:eastAsia="Times New Roman" w:hAnsi="Tahoma" w:cs="Tahoma"/>
          <w:color w:val="5E6D81"/>
          <w:sz w:val="20"/>
          <w:szCs w:val="20"/>
          <w:lang w:eastAsia="ru-RU"/>
        </w:rPr>
        <w:br/>
        <w:t>При расчете применяются следующие методы расчетов:</w:t>
      </w:r>
      <w:r w:rsidRPr="00235464">
        <w:rPr>
          <w:rFonts w:ascii="Tahoma" w:eastAsia="Times New Roman" w:hAnsi="Tahoma" w:cs="Tahoma"/>
          <w:color w:val="5E6D81"/>
          <w:sz w:val="20"/>
          <w:szCs w:val="20"/>
          <w:lang w:eastAsia="ru-RU"/>
        </w:rPr>
        <w:br/>
        <w:t>- метод многофакторного прогнозирования.</w:t>
      </w:r>
      <w:r w:rsidRPr="00235464">
        <w:rPr>
          <w:rFonts w:ascii="Tahoma" w:eastAsia="Times New Roman" w:hAnsi="Tahoma" w:cs="Tahoma"/>
          <w:color w:val="5E6D81"/>
          <w:sz w:val="20"/>
          <w:szCs w:val="20"/>
          <w:lang w:eastAsia="ru-RU"/>
        </w:rPr>
        <w:br/>
        <w:t>Прогноз поступлений по единому сельскохозяйственному налогу рассчитывается исходя из ожидаемого поступления налога по оценке текущего финансового года с учетом изменения законодательства по следующей формуле:</w:t>
      </w:r>
      <w:r w:rsidRPr="00235464">
        <w:rPr>
          <w:rFonts w:ascii="Tahoma" w:eastAsia="Times New Roman" w:hAnsi="Tahoma" w:cs="Tahoma"/>
          <w:color w:val="5E6D81"/>
          <w:sz w:val="20"/>
          <w:szCs w:val="20"/>
          <w:lang w:eastAsia="ru-RU"/>
        </w:rPr>
        <w:br/>
        <w:t>ПДесхн = ((НБож +/- Изак) x ИПЦ + Нд) х Но.</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right"/>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УТВЕРЖДЕН</w:t>
      </w:r>
    </w:p>
    <w:p w:rsidR="00235464" w:rsidRPr="00235464" w:rsidRDefault="00235464" w:rsidP="00235464">
      <w:pPr>
        <w:shd w:val="clear" w:color="auto" w:fill="FFFFFF"/>
        <w:spacing w:after="0" w:line="240" w:lineRule="auto"/>
        <w:jc w:val="right"/>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постановлением администрации</w:t>
      </w:r>
      <w:r w:rsidRPr="00235464">
        <w:rPr>
          <w:rFonts w:ascii="Tahoma" w:eastAsia="Times New Roman" w:hAnsi="Tahoma" w:cs="Tahoma"/>
          <w:color w:val="5E6D81"/>
          <w:sz w:val="20"/>
          <w:szCs w:val="20"/>
          <w:lang w:eastAsia="ru-RU"/>
        </w:rPr>
        <w:br/>
        <w:t>Дербишевскогосельского поселения</w:t>
      </w:r>
      <w:r w:rsidRPr="00235464">
        <w:rPr>
          <w:rFonts w:ascii="Tahoma" w:eastAsia="Times New Roman" w:hAnsi="Tahoma" w:cs="Tahoma"/>
          <w:color w:val="5E6D81"/>
          <w:sz w:val="20"/>
          <w:szCs w:val="20"/>
          <w:lang w:eastAsia="ru-RU"/>
        </w:rPr>
        <w:br/>
        <w:t>от 15.08.2016 г  №161</w:t>
      </w:r>
    </w:p>
    <w:p w:rsidR="00235464" w:rsidRPr="00235464" w:rsidRDefault="00235464" w:rsidP="00235464">
      <w:pPr>
        <w:shd w:val="clear" w:color="auto" w:fill="FFFFFF"/>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br/>
      </w:r>
      <w:r w:rsidRPr="00235464">
        <w:rPr>
          <w:rFonts w:ascii="Tahoma" w:eastAsia="Times New Roman" w:hAnsi="Tahoma" w:cs="Tahoma"/>
          <w:b/>
          <w:bCs/>
          <w:color w:val="5E6D81"/>
          <w:sz w:val="20"/>
          <w:szCs w:val="20"/>
          <w:lang w:eastAsia="ru-RU"/>
        </w:rPr>
        <w:t>Календарный план</w:t>
      </w:r>
      <w:r w:rsidRPr="00235464">
        <w:rPr>
          <w:rFonts w:ascii="Tahoma" w:eastAsia="Times New Roman" w:hAnsi="Tahoma" w:cs="Tahoma"/>
          <w:color w:val="5E6D81"/>
          <w:sz w:val="20"/>
          <w:szCs w:val="20"/>
          <w:lang w:eastAsia="ru-RU"/>
        </w:rPr>
        <w:br/>
      </w:r>
      <w:r w:rsidRPr="00235464">
        <w:rPr>
          <w:rFonts w:ascii="Tahoma" w:eastAsia="Times New Roman" w:hAnsi="Tahoma" w:cs="Tahoma"/>
          <w:b/>
          <w:bCs/>
          <w:color w:val="5E6D81"/>
          <w:sz w:val="20"/>
          <w:szCs w:val="20"/>
          <w:lang w:eastAsia="ru-RU"/>
        </w:rPr>
        <w:t>подготовки и рассмотрения в текущем финансовом году проектов решений, документов и материалов, </w:t>
      </w:r>
      <w:r w:rsidRPr="00235464">
        <w:rPr>
          <w:rFonts w:ascii="Tahoma" w:eastAsia="Times New Roman" w:hAnsi="Tahoma" w:cs="Tahoma"/>
          <w:color w:val="5E6D81"/>
          <w:sz w:val="20"/>
          <w:szCs w:val="20"/>
          <w:lang w:eastAsia="ru-RU"/>
        </w:rPr>
        <w:br/>
      </w:r>
      <w:r w:rsidRPr="00235464">
        <w:rPr>
          <w:rFonts w:ascii="Tahoma" w:eastAsia="Times New Roman" w:hAnsi="Tahoma" w:cs="Tahoma"/>
          <w:b/>
          <w:bCs/>
          <w:color w:val="5E6D81"/>
          <w:sz w:val="20"/>
          <w:szCs w:val="20"/>
          <w:lang w:eastAsia="ru-RU"/>
        </w:rPr>
        <w:t>разрабатываемых при составлении проекта бюджета Дербишевского сельского поселения на очередной финансовый год</w:t>
      </w:r>
    </w:p>
    <w:tbl>
      <w:tblPr>
        <w:tblW w:w="105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40"/>
        <w:gridCol w:w="3450"/>
        <w:gridCol w:w="3240"/>
        <w:gridCol w:w="1485"/>
      </w:tblGrid>
      <w:tr w:rsidR="00235464" w:rsidRPr="00235464" w:rsidTr="00235464">
        <w:trPr>
          <w:tblHeade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b/>
                <w:bCs/>
                <w:color w:val="5E6D81"/>
                <w:sz w:val="20"/>
                <w:szCs w:val="20"/>
                <w:lang w:eastAsia="ru-RU"/>
              </w:rPr>
            </w:pPr>
            <w:r w:rsidRPr="00235464">
              <w:rPr>
                <w:rFonts w:ascii="Tahoma" w:eastAsia="Times New Roman" w:hAnsi="Tahoma" w:cs="Tahoma"/>
                <w:b/>
                <w:bCs/>
                <w:color w:val="5E6D81"/>
                <w:sz w:val="20"/>
                <w:szCs w:val="20"/>
                <w:lang w:eastAsia="ru-RU"/>
              </w:rPr>
              <w:t>№ п/п</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b/>
                <w:bCs/>
                <w:color w:val="5E6D81"/>
                <w:sz w:val="20"/>
                <w:szCs w:val="20"/>
                <w:lang w:eastAsia="ru-RU"/>
              </w:rPr>
            </w:pPr>
            <w:r w:rsidRPr="00235464">
              <w:rPr>
                <w:rFonts w:ascii="Tahoma" w:eastAsia="Times New Roman" w:hAnsi="Tahoma" w:cs="Tahoma"/>
                <w:b/>
                <w:bCs/>
                <w:color w:val="5E6D81"/>
                <w:sz w:val="20"/>
                <w:szCs w:val="20"/>
                <w:lang w:eastAsia="ru-RU"/>
              </w:rPr>
              <w:t>Материалы, документы, мероприятия</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b/>
                <w:bCs/>
                <w:color w:val="5E6D81"/>
                <w:sz w:val="20"/>
                <w:szCs w:val="20"/>
                <w:lang w:eastAsia="ru-RU"/>
              </w:rPr>
            </w:pPr>
            <w:r w:rsidRPr="00235464">
              <w:rPr>
                <w:rFonts w:ascii="Tahoma" w:eastAsia="Times New Roman" w:hAnsi="Tahoma" w:cs="Tahoma"/>
                <w:b/>
                <w:bCs/>
                <w:color w:val="5E6D81"/>
                <w:sz w:val="20"/>
                <w:szCs w:val="20"/>
                <w:lang w:eastAsia="ru-RU"/>
              </w:rPr>
              <w:t>Ответственный</w:t>
            </w:r>
          </w:p>
          <w:p w:rsidR="00235464" w:rsidRPr="00235464" w:rsidRDefault="00235464" w:rsidP="00235464">
            <w:pPr>
              <w:spacing w:after="0" w:line="240" w:lineRule="auto"/>
              <w:jc w:val="center"/>
              <w:rPr>
                <w:rFonts w:ascii="Tahoma" w:eastAsia="Times New Roman" w:hAnsi="Tahoma" w:cs="Tahoma"/>
                <w:b/>
                <w:bCs/>
                <w:color w:val="5E6D81"/>
                <w:sz w:val="20"/>
                <w:szCs w:val="20"/>
                <w:lang w:eastAsia="ru-RU"/>
              </w:rPr>
            </w:pPr>
            <w:r w:rsidRPr="00235464">
              <w:rPr>
                <w:rFonts w:ascii="Tahoma" w:eastAsia="Times New Roman" w:hAnsi="Tahoma" w:cs="Tahoma"/>
                <w:b/>
                <w:bCs/>
                <w:color w:val="5E6D81"/>
                <w:sz w:val="20"/>
                <w:szCs w:val="20"/>
                <w:lang w:eastAsia="ru-RU"/>
              </w:rPr>
              <w:t>исполнитель</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b/>
                <w:bCs/>
                <w:color w:val="5E6D81"/>
                <w:sz w:val="20"/>
                <w:szCs w:val="20"/>
                <w:lang w:eastAsia="ru-RU"/>
              </w:rPr>
            </w:pPr>
            <w:r w:rsidRPr="00235464">
              <w:rPr>
                <w:rFonts w:ascii="Tahoma" w:eastAsia="Times New Roman" w:hAnsi="Tahoma" w:cs="Tahoma"/>
                <w:b/>
                <w:bCs/>
                <w:color w:val="5E6D81"/>
                <w:sz w:val="20"/>
                <w:szCs w:val="20"/>
                <w:lang w:eastAsia="ru-RU"/>
              </w:rPr>
              <w:t>Срок</w:t>
            </w:r>
          </w:p>
          <w:p w:rsidR="00235464" w:rsidRPr="00235464" w:rsidRDefault="00235464" w:rsidP="00235464">
            <w:pPr>
              <w:spacing w:after="0" w:line="240" w:lineRule="auto"/>
              <w:jc w:val="center"/>
              <w:rPr>
                <w:rFonts w:ascii="Tahoma" w:eastAsia="Times New Roman" w:hAnsi="Tahoma" w:cs="Tahoma"/>
                <w:b/>
                <w:bCs/>
                <w:color w:val="5E6D81"/>
                <w:sz w:val="20"/>
                <w:szCs w:val="20"/>
                <w:lang w:eastAsia="ru-RU"/>
              </w:rPr>
            </w:pPr>
            <w:r w:rsidRPr="00235464">
              <w:rPr>
                <w:rFonts w:ascii="Tahoma" w:eastAsia="Times New Roman" w:hAnsi="Tahoma" w:cs="Tahoma"/>
                <w:b/>
                <w:bCs/>
                <w:color w:val="5E6D81"/>
                <w:sz w:val="20"/>
                <w:szCs w:val="20"/>
                <w:lang w:eastAsia="ru-RU"/>
              </w:rPr>
              <w:t>исполнения</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Реестр расходных обязательств (уточненный)</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Администрация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не позднее</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11 января</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2</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Реестр расходных обязательств (плановый)</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Администрация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15 мая</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Проект постановления администрации Дербишевского сельского поселения «Об основных направлениях бюджетной и налоговой политики Дербишевского сельского поселения на очередной финансовый год»</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Администрация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не позднее</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30 сентября</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4</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Прогноз объемов поступлений в бюджет Дербишевского сельского поселения  по администрируемым источникам доходов бюджета Дербишевского сельского поселения, по администрируемым источникам финансирования дефицита бюджета на очередной финансовый год с предоставлением расчетов по видам классификации доходов бюджета Дербишевского сельского поселения</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Администрация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не позднее</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 августа</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5</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Нормативные правовые акты об установлении ставок земельного налога, ставок налога на имущество физических лиц, ставок арендной платы за землю</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Совет депутатов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не позднее</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 октября</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6</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xml:space="preserve">Прогноз поступлений на очередной финансовый год и на плановый </w:t>
            </w:r>
            <w:r w:rsidRPr="00235464">
              <w:rPr>
                <w:rFonts w:ascii="Tahoma" w:eastAsia="Times New Roman" w:hAnsi="Tahoma" w:cs="Tahoma"/>
                <w:color w:val="5E6D81"/>
                <w:sz w:val="20"/>
                <w:szCs w:val="20"/>
                <w:lang w:eastAsia="ru-RU"/>
              </w:rPr>
              <w:lastRenderedPageBreak/>
              <w:t>период в бюджет Дербишевского сельского поселения доходов от использования муниципального имущества и от продажи материальных и нематериальных активов</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lastRenderedPageBreak/>
              <w:t>Комитет по управлению муниципальным</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lastRenderedPageBreak/>
              <w:t>имуществом и</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земельными ресурсами</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lastRenderedPageBreak/>
              <w:t>не позднее</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 августа</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7</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Предварительные данные о предполагаемых объемах поступлений налогов и сборов в текущем финансовом году и прогноз поступлений на очередной финансовый год и на плановый период</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Межрайонная ИФНС</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России №22</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по Челябинской области</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не позднее</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 августа</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8</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Предложения об отмене или приостановке действия нормативных правовых актов органов местного самоуправления поселения (отдельных положений указанных актов), предусматривающих расходные обязательства поселения, не обеспеченные полностью или частично бюджетными ассигнованиями на очередной финансовый год и на плановый период</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Администрация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не позднее</w:t>
            </w:r>
          </w:p>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15 сентября</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9</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Утвержденные нормативным правовым актом администрации Дербишевского сельского поселения ведомственные целевые программы</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Администрация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один месяц до дня внесения проекта решения о бюджете Дербишевского сельского поселения в Совет депутатов Дербишевского сельского поселения</w:t>
            </w:r>
          </w:p>
        </w:tc>
      </w:tr>
      <w:tr w:rsidR="00235464" w:rsidRPr="00235464" w:rsidTr="00235464">
        <w:trPr>
          <w:tblCellSpacing w:w="0" w:type="dxa"/>
          <w:jc w:val="center"/>
        </w:trPr>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10</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Проект решения о бюджете Дербишевского сельского поселения на очередной финансовый год, документы и материалы, подлежащие представлению одновременно с проектом в соответствии с БК РФ</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Администрация Дербишевского сельского поселения</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5464" w:rsidRPr="00235464" w:rsidRDefault="00235464" w:rsidP="00235464">
            <w:pPr>
              <w:spacing w:after="0" w:line="240" w:lineRule="auto"/>
              <w:jc w:val="center"/>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24 ноября</w:t>
            </w:r>
          </w:p>
        </w:tc>
      </w:tr>
    </w:tbl>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235464" w:rsidRPr="00235464" w:rsidRDefault="00235464" w:rsidP="00235464">
      <w:pPr>
        <w:shd w:val="clear" w:color="auto" w:fill="FFFFFF"/>
        <w:spacing w:after="0" w:line="240" w:lineRule="auto"/>
        <w:jc w:val="both"/>
        <w:rPr>
          <w:rFonts w:ascii="Tahoma" w:eastAsia="Times New Roman" w:hAnsi="Tahoma" w:cs="Tahoma"/>
          <w:color w:val="5E6D81"/>
          <w:sz w:val="20"/>
          <w:szCs w:val="20"/>
          <w:lang w:eastAsia="ru-RU"/>
        </w:rPr>
      </w:pPr>
      <w:r w:rsidRPr="00235464">
        <w:rPr>
          <w:rFonts w:ascii="Tahoma" w:eastAsia="Times New Roman" w:hAnsi="Tahoma" w:cs="Tahoma"/>
          <w:color w:val="5E6D81"/>
          <w:sz w:val="20"/>
          <w:szCs w:val="20"/>
          <w:lang w:eastAsia="ru-RU"/>
        </w:rPr>
        <w:t> </w:t>
      </w:r>
    </w:p>
    <w:p w:rsidR="003B40BD" w:rsidRPr="00235464" w:rsidRDefault="00235464" w:rsidP="00235464">
      <w:bookmarkStart w:id="0" w:name="_GoBack"/>
      <w:bookmarkEnd w:id="0"/>
    </w:p>
    <w:sectPr w:rsidR="003B40BD" w:rsidRPr="0023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8BC"/>
    <w:multiLevelType w:val="multilevel"/>
    <w:tmpl w:val="B8B817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15BD4"/>
    <w:multiLevelType w:val="multilevel"/>
    <w:tmpl w:val="3AAEB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E1C94"/>
    <w:multiLevelType w:val="multilevel"/>
    <w:tmpl w:val="2C2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B452F"/>
    <w:multiLevelType w:val="multilevel"/>
    <w:tmpl w:val="B2D4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3718F"/>
    <w:multiLevelType w:val="multilevel"/>
    <w:tmpl w:val="9A0E7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A0519"/>
    <w:multiLevelType w:val="multilevel"/>
    <w:tmpl w:val="9B06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B1041"/>
    <w:multiLevelType w:val="multilevel"/>
    <w:tmpl w:val="A2D0A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A6BAC"/>
    <w:multiLevelType w:val="multilevel"/>
    <w:tmpl w:val="035E6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E512D"/>
    <w:multiLevelType w:val="multilevel"/>
    <w:tmpl w:val="D3026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02C62"/>
    <w:multiLevelType w:val="multilevel"/>
    <w:tmpl w:val="A97C7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F1828"/>
    <w:multiLevelType w:val="multilevel"/>
    <w:tmpl w:val="CC2AE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77A0F"/>
    <w:multiLevelType w:val="multilevel"/>
    <w:tmpl w:val="DAB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461EB"/>
    <w:multiLevelType w:val="multilevel"/>
    <w:tmpl w:val="7A8CD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1557C"/>
    <w:multiLevelType w:val="multilevel"/>
    <w:tmpl w:val="6F0CA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248F0"/>
    <w:multiLevelType w:val="multilevel"/>
    <w:tmpl w:val="D0B6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
  </w:num>
  <w:num w:numId="4">
    <w:abstractNumId w:val="9"/>
  </w:num>
  <w:num w:numId="5">
    <w:abstractNumId w:val="6"/>
  </w:num>
  <w:num w:numId="6">
    <w:abstractNumId w:val="12"/>
  </w:num>
  <w:num w:numId="7">
    <w:abstractNumId w:val="13"/>
  </w:num>
  <w:num w:numId="8">
    <w:abstractNumId w:val="5"/>
  </w:num>
  <w:num w:numId="9">
    <w:abstractNumId w:val="8"/>
  </w:num>
  <w:num w:numId="10">
    <w:abstractNumId w:val="4"/>
  </w:num>
  <w:num w:numId="11">
    <w:abstractNumId w:val="0"/>
  </w:num>
  <w:num w:numId="12">
    <w:abstractNumId w:val="10"/>
  </w:num>
  <w:num w:numId="13">
    <w:abstractNumId w:val="14"/>
  </w:num>
  <w:num w:numId="14">
    <w:abstractNumId w:val="7"/>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A41BD"/>
    <w:rsid w:val="000E5949"/>
    <w:rsid w:val="000F0422"/>
    <w:rsid w:val="00125429"/>
    <w:rsid w:val="001566D0"/>
    <w:rsid w:val="001829A3"/>
    <w:rsid w:val="001B008C"/>
    <w:rsid w:val="001C07D4"/>
    <w:rsid w:val="001E34B2"/>
    <w:rsid w:val="00204893"/>
    <w:rsid w:val="00235464"/>
    <w:rsid w:val="002A19A9"/>
    <w:rsid w:val="002A7D68"/>
    <w:rsid w:val="00310399"/>
    <w:rsid w:val="00317729"/>
    <w:rsid w:val="00390B7A"/>
    <w:rsid w:val="003C1CB3"/>
    <w:rsid w:val="003E633B"/>
    <w:rsid w:val="00457968"/>
    <w:rsid w:val="00486AA7"/>
    <w:rsid w:val="004C18CE"/>
    <w:rsid w:val="004E2B44"/>
    <w:rsid w:val="00520B1D"/>
    <w:rsid w:val="00531EAF"/>
    <w:rsid w:val="0056276D"/>
    <w:rsid w:val="00564F77"/>
    <w:rsid w:val="00590CC6"/>
    <w:rsid w:val="005B719E"/>
    <w:rsid w:val="0061562B"/>
    <w:rsid w:val="00622A52"/>
    <w:rsid w:val="006330F8"/>
    <w:rsid w:val="006F2995"/>
    <w:rsid w:val="006F3DD2"/>
    <w:rsid w:val="00720BB7"/>
    <w:rsid w:val="00776F86"/>
    <w:rsid w:val="007A74D8"/>
    <w:rsid w:val="007B56BF"/>
    <w:rsid w:val="007E51A6"/>
    <w:rsid w:val="007F026B"/>
    <w:rsid w:val="007F1C48"/>
    <w:rsid w:val="00805678"/>
    <w:rsid w:val="0083126B"/>
    <w:rsid w:val="008711D8"/>
    <w:rsid w:val="008A2298"/>
    <w:rsid w:val="00942B49"/>
    <w:rsid w:val="00A27506"/>
    <w:rsid w:val="00A56383"/>
    <w:rsid w:val="00B734C9"/>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13AE6"/>
    <w:rsid w:val="00EA5074"/>
    <w:rsid w:val="00EC4F25"/>
    <w:rsid w:val="00EC741E"/>
    <w:rsid w:val="00EC7AFE"/>
    <w:rsid w:val="00ED269F"/>
    <w:rsid w:val="00ED7F1A"/>
    <w:rsid w:val="00F04943"/>
    <w:rsid w:val="00F05253"/>
    <w:rsid w:val="00F05B67"/>
    <w:rsid w:val="00F46325"/>
    <w:rsid w:val="00F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44218346">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73512775">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82</cp:revision>
  <dcterms:created xsi:type="dcterms:W3CDTF">2024-08-18T13:51:00Z</dcterms:created>
  <dcterms:modified xsi:type="dcterms:W3CDTF">2024-08-19T11:29:00Z</dcterms:modified>
</cp:coreProperties>
</file>