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СОВЕТ ДЕПУТАТОВ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ДЕРБИШЕВСКОГО СЕЛЬСКОГО ПОСЕЛЕНИЯ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ЧЕЛЯБИНСКОЙ ОБЛАСТИ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РЕШЕНИЕ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«О бюджете Дербишевского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сельского поселения на 2018 год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8"/>
          <w:szCs w:val="28"/>
          <w:lang w:eastAsia="ru-RU"/>
        </w:rPr>
        <w:t>и на плановый период 2019 и 2020 годов »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от 14 декабря 2017 года № 69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Дербишевского сельского поселения, Положением о бюджетном процессе в Дербишевском сельском поселении, Совет депутатов Дербишевского сельского поселения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РЕШАЕТ: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1. Основные характеристики бюджета Дербишевского сельского поселения</w:t>
      </w: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 </w:t>
      </w: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на 2018 год и на плановый период 2019 и 2020 годов.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1.Утвердить основные характеристики бюджета Дербишевского сельского поселения на 2018 год: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1) прогнозируемый общий объем доходов бюджета Дербишевского сельского поселения в сумме 8331,88 тыс. рублей, в том числе безвозмездные поступления от других бюджетов бюджетной системы Российской Федерации в сумме 3144,88 тыс. рублей;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2) общий объем расходов бюджета Дербишевского сельского поселения в сумме 8331,88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3) дефицит (профицит) бюджета Дербишевского сельского поселения в сумме 0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2. Утвердить основные характеристики бюджета Дербишевского сельского поселения на 2019 и 2020 год: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1) прогнозируемый общий объем доходов бюджета Дербишевского сельского поселения в сумме 8050,33 тыс. рублей, в том числе безвозмездные поступления от других бюджетов бюджетной системы Российской Федерации в сумме 2861,33 тыс. рублей, и на 2020 год в сумме 8135,03 тыс. рублей, в том числе безвозмездные поступления от других бюджетов бюджетной системы Российской Федерации в сумме 2943,33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2) общий объем расходов бюджета Дербишевского сельского поселения на 2019 год в сумме 8050,33 тыс. рублей и на 2019 год в сумме 8135,03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3) дефицит (профицит) бюджета Дербишевского сельского поселения на 2018 год в сумме 0,0 тыс. рублей, и на 2020 год в сумме 0,0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2. Использование остатков средств бюджета Дербишевского сельского поселения на 1 января 2018 года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 xml:space="preserve">Утвердить объем остатков средств бюджета Дербишевского сельского поселения на 1 января 2018 года в сумме 100 тыс. рублей, направляемых на покрытие временных </w:t>
      </w: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lastRenderedPageBreak/>
        <w:t>кассовых разрывов, возникающих в ходе исполнения бюджета Дербишевского сельского поселения в 2018 году.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3. Нормативы доходов бюджета Дербишевского сельского поселения на 2018 год и на плановый период 2019 и 2020 годов.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 нормативы доходов бюджета Дербишевского сельского поселения на 2018 год и на плановый период 2019 и 2020 годов согласно приложению 1.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4. Главные администраторы доходов бюджета Дербишевского сельского поселения и источников финансирования дефицита бюджета Дербишевского сельского поселения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 перечень главных администраторов доходов бюджета Дербишевского сельского поселения согласно приложению 2.</w:t>
      </w:r>
    </w:p>
    <w:p w:rsidR="006330F8" w:rsidRPr="006330F8" w:rsidRDefault="006330F8" w:rsidP="006330F8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 перечень главных администраторов источников финансирования дефицита бюджета Дербишевского сельского поселения согласно приложению 3.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5. Бюджетные ассигнования на 2018 год и на плановый период 2019 и 2020 годов.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1. Утвердить общий объем бюджетных ассигнований на исполнение публичных нормативных обязательств на 2018 год в сумме 0 тыс. рублей, и на плановый период 2019 год в сумме 0 тыс. рублей и на 2020 год в сумме 0 тыс.рублей.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</w:t>
      </w: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:</w:t>
      </w:r>
    </w:p>
    <w:p w:rsidR="006330F8" w:rsidRPr="006330F8" w:rsidRDefault="006330F8" w:rsidP="006330F8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1) распределение бюджетных ассигнований по разделам, подразделам, целевым статьям и группам видов расходов бюджета Дербишевского сельского поселения на 2018 год (далее классификация расходов бюджета) согласно приложению 4, и на плановый период 2019 и 2020 годов согласно приложению 5;</w:t>
      </w:r>
    </w:p>
    <w:p w:rsidR="006330F8" w:rsidRPr="006330F8" w:rsidRDefault="006330F8" w:rsidP="006330F8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2) ведомственную структуру расходов бюджета Дербишевского сельского поселения на 2018 год согласно приложению 6, и на плановый период 2019 и 2020 годов согласно приложению 7.</w:t>
      </w:r>
    </w:p>
    <w:p w:rsidR="006330F8" w:rsidRPr="006330F8" w:rsidRDefault="006330F8" w:rsidP="006330F8">
      <w:pPr>
        <w:shd w:val="clear" w:color="auto" w:fill="FFFFFF"/>
        <w:spacing w:after="0" w:line="240" w:lineRule="auto"/>
        <w:ind w:left="12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6. Особенности исполнения бюджета Дербишевского сельского поселения в 2018 году и в плановом периоде 2019 и 2020 годов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1. Установить следующие основания для внесения в 2018 году изменений в показатели сводной бюджетной росписи бюджета Дербишевского сельского поселения, связанные с особенностями исполнения бюджета поселения и перераспределения бюджетных ассигнований между главными распорядителями средств: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1) изменение бюджетной классификации Российской Федерации, в том числе для отражения межбюджетных трансфертов;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2) перераспределение Главой бюджетных ассигнований между кодами БК и главными распорядителями бюджетных средств на реализацию мероприятий, предусмотренных по разделам классификации расходов бюджета поселения;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lastRenderedPageBreak/>
        <w:t>- изменение бюджетной классификации Российской Федерации, в том числе для отражения межбюджетных трансфертов;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-</w:t>
      </w: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изменение типа муниципальных учреждений Дербишевского сельского поселения;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- направление Главой поселения остатков средств местного бюджета на 1 января 2018 года на: обеспечение своевременной выплаты заработной платы работникам организаций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бюджетной сферы и оплаты потребленных учреждениями бюджетной сферы топливно-энергетических ресурсов;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- дополнительное финансирование расходов, которые не были предусмотрены в первоначальном бюджете: на устранение аварийных ситуаций в жилищно-коммунальном хозяйстве, на подготовку объектов ЖКХ и социальной сферы к работе в зимних условиях, на ремонт и содержание автомобильных дорог, на индексацию заработной платы и оказание материальной помощи работникам бюджетной сферы и т.д.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- в случае поступления в доход бюджета Дербишевского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7. Верхний предел муниципального внутреннего долга.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Установить верхний предел муниципального внутреннего долга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на 1 января 2019 года в сумме 259,35 тыс. рублей, в том числе верхний предел долга по муниципальным гарантиям в сумме 0 тыс. рублей;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на 1 января 2020 года в сумме 259,45 тыс. рублей, в том числе верхний предел долга по муниципальным гарантиям в сумме 0 тыс. рублей;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на 1 января 2021 года в сумме 259,58 тыс. рублей, в том числе верхний предел долга по муниципальным гарантиям в сумме 0 тыс. рублей;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Установить предельный объем муниципального долга на 2018 год в сумме 0,0 тыс. рублей, на 2019 год в сумме 0,0 тыс. рублей и на 2020 год в сумме 0,0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Установить предельный объем расходов на обслуживание муниципального долга на 2018 год в сумме 0,0 тыс. рублей, на 2019 год в сумме 0,0 тыс. рублей и на 2020 год в сумме 0,0 тыс. рублей.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Установить предельный объем муниципальных заимствований, направляемых на финансирование дефицита местного бюджета, на 2018 год в сумме 0,0 тыс. рублей, на 2019 год в сумме 0,0 тыс. рублей и на 2020 год в сумме 0,0 тыс. рублей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8. Программы муниципальных гарантий, муниципальных внутренних и внешних заимствований, предоставления бюджетных кредитов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1. Утвердить программу муниципальных гарантий бюджета Дербишевского сельского поселения на 2018 год согласно приложению 8, и на плановый период 2019 и 2020 годов согласно приложению 9.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2. Утвердить программу муниципальных внутренних заимствований бюджета Дербишевского сельского поселения на 2018 год согласно приложению 10, и на плановый период 2019 и 2020 годов согласно приложению 11.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lastRenderedPageBreak/>
        <w:t>Статья 9. Межбюджетные трансферты бюджету муниципального района из бюджета Дербишевского сельского поселения.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 общий объем межбюджетных трансфертов, предоставляемых в 2018 году бюджету Аргаяшского муниципального района из бюджета Дербишевского сельского поселения в сумме 15,48 тыс. рублей, согласно приложению 12, на 2019 год в сумме 15,48 тыс. рублей и на 2020 год в сумме 15,48 тыс. рублей, согласно приложению 13.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b/>
          <w:bCs/>
          <w:color w:val="5E6D81"/>
          <w:sz w:val="24"/>
          <w:szCs w:val="24"/>
          <w:lang w:eastAsia="ru-RU"/>
        </w:rPr>
        <w:t>Статья 10. Источники внутреннего финансирования дефицита бюджета Дербишевского сельского поселения на 2018 год и на плановый период 2019 и 2020 годов.</w:t>
      </w:r>
    </w:p>
    <w:p w:rsidR="006330F8" w:rsidRPr="006330F8" w:rsidRDefault="006330F8" w:rsidP="006330F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6330F8">
        <w:rPr>
          <w:rFonts w:ascii="Tahoma" w:eastAsia="Times New Roman" w:hAnsi="Tahoma" w:cs="Tahoma"/>
          <w:color w:val="5E6D81"/>
          <w:sz w:val="24"/>
          <w:szCs w:val="24"/>
          <w:lang w:eastAsia="ru-RU"/>
        </w:rPr>
        <w:t>Утвердить источники внутреннего финансирования дефицита бюджета Дербишевского сельского поселения на 2018 год согласно приложению 14, и на плановый период 2019 и 2020 годов согласно приложению 15.</w:t>
      </w:r>
    </w:p>
    <w:p w:rsidR="003B40BD" w:rsidRPr="006330F8" w:rsidRDefault="006330F8" w:rsidP="006330F8">
      <w:bookmarkStart w:id="0" w:name="_GoBack"/>
      <w:bookmarkEnd w:id="0"/>
    </w:p>
    <w:sectPr w:rsidR="003B40BD" w:rsidRPr="00633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B3290"/>
    <w:multiLevelType w:val="multilevel"/>
    <w:tmpl w:val="0D945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4F5F19"/>
    <w:multiLevelType w:val="multilevel"/>
    <w:tmpl w:val="FF5E8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C26F8A"/>
    <w:multiLevelType w:val="multilevel"/>
    <w:tmpl w:val="7FEC0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DC3816"/>
    <w:multiLevelType w:val="multilevel"/>
    <w:tmpl w:val="C2A81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02656D"/>
    <w:multiLevelType w:val="multilevel"/>
    <w:tmpl w:val="A46EA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657BE6"/>
    <w:multiLevelType w:val="multilevel"/>
    <w:tmpl w:val="E5EE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0"/>
  </w:num>
  <w:num w:numId="4">
    <w:abstractNumId w:val="32"/>
  </w:num>
  <w:num w:numId="5">
    <w:abstractNumId w:val="17"/>
  </w:num>
  <w:num w:numId="6">
    <w:abstractNumId w:val="39"/>
  </w:num>
  <w:num w:numId="7">
    <w:abstractNumId w:val="10"/>
  </w:num>
  <w:num w:numId="8">
    <w:abstractNumId w:val="42"/>
  </w:num>
  <w:num w:numId="9">
    <w:abstractNumId w:val="8"/>
  </w:num>
  <w:num w:numId="10">
    <w:abstractNumId w:val="40"/>
  </w:num>
  <w:num w:numId="11">
    <w:abstractNumId w:val="13"/>
  </w:num>
  <w:num w:numId="12">
    <w:abstractNumId w:val="1"/>
  </w:num>
  <w:num w:numId="13">
    <w:abstractNumId w:val="28"/>
  </w:num>
  <w:num w:numId="14">
    <w:abstractNumId w:val="2"/>
  </w:num>
  <w:num w:numId="15">
    <w:abstractNumId w:val="37"/>
  </w:num>
  <w:num w:numId="16">
    <w:abstractNumId w:val="9"/>
  </w:num>
  <w:num w:numId="17">
    <w:abstractNumId w:val="41"/>
  </w:num>
  <w:num w:numId="18">
    <w:abstractNumId w:val="18"/>
  </w:num>
  <w:num w:numId="19">
    <w:abstractNumId w:val="7"/>
  </w:num>
  <w:num w:numId="20">
    <w:abstractNumId w:val="25"/>
  </w:num>
  <w:num w:numId="21">
    <w:abstractNumId w:val="36"/>
  </w:num>
  <w:num w:numId="22">
    <w:abstractNumId w:val="27"/>
  </w:num>
  <w:num w:numId="23">
    <w:abstractNumId w:val="24"/>
  </w:num>
  <w:num w:numId="24">
    <w:abstractNumId w:val="14"/>
  </w:num>
  <w:num w:numId="25">
    <w:abstractNumId w:val="4"/>
  </w:num>
  <w:num w:numId="26">
    <w:abstractNumId w:val="12"/>
  </w:num>
  <w:num w:numId="27">
    <w:abstractNumId w:val="26"/>
  </w:num>
  <w:num w:numId="28">
    <w:abstractNumId w:val="34"/>
  </w:num>
  <w:num w:numId="29">
    <w:abstractNumId w:val="33"/>
  </w:num>
  <w:num w:numId="30">
    <w:abstractNumId w:val="11"/>
  </w:num>
  <w:num w:numId="31">
    <w:abstractNumId w:val="15"/>
  </w:num>
  <w:num w:numId="32">
    <w:abstractNumId w:val="5"/>
  </w:num>
  <w:num w:numId="33">
    <w:abstractNumId w:val="31"/>
  </w:num>
  <w:num w:numId="34">
    <w:abstractNumId w:val="35"/>
  </w:num>
  <w:num w:numId="35">
    <w:abstractNumId w:val="20"/>
  </w:num>
  <w:num w:numId="36">
    <w:abstractNumId w:val="6"/>
  </w:num>
  <w:num w:numId="37">
    <w:abstractNumId w:val="22"/>
  </w:num>
  <w:num w:numId="38">
    <w:abstractNumId w:val="16"/>
  </w:num>
  <w:num w:numId="39">
    <w:abstractNumId w:val="38"/>
  </w:num>
  <w:num w:numId="40">
    <w:abstractNumId w:val="30"/>
  </w:num>
  <w:num w:numId="41">
    <w:abstractNumId w:val="23"/>
  </w:num>
  <w:num w:numId="42">
    <w:abstractNumId w:val="29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B008C"/>
    <w:rsid w:val="001C07D4"/>
    <w:rsid w:val="00204893"/>
    <w:rsid w:val="002A19A9"/>
    <w:rsid w:val="00310399"/>
    <w:rsid w:val="003C1CB3"/>
    <w:rsid w:val="00486AA7"/>
    <w:rsid w:val="004E2B44"/>
    <w:rsid w:val="00531EAF"/>
    <w:rsid w:val="0056276D"/>
    <w:rsid w:val="00564F77"/>
    <w:rsid w:val="0061562B"/>
    <w:rsid w:val="00622A52"/>
    <w:rsid w:val="006330F8"/>
    <w:rsid w:val="006F2995"/>
    <w:rsid w:val="00720BB7"/>
    <w:rsid w:val="007A74D8"/>
    <w:rsid w:val="007E51A6"/>
    <w:rsid w:val="007F1C48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CA5D09"/>
    <w:rsid w:val="00D91D02"/>
    <w:rsid w:val="00DA6921"/>
    <w:rsid w:val="00DB204C"/>
    <w:rsid w:val="00DD7B02"/>
    <w:rsid w:val="00E13AE6"/>
    <w:rsid w:val="00EC741E"/>
    <w:rsid w:val="00EC7AFE"/>
    <w:rsid w:val="00ED269F"/>
    <w:rsid w:val="00ED7F1A"/>
    <w:rsid w:val="00F04943"/>
    <w:rsid w:val="00F05253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1213</Words>
  <Characters>6915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45</cp:revision>
  <dcterms:created xsi:type="dcterms:W3CDTF">2024-08-18T13:51:00Z</dcterms:created>
  <dcterms:modified xsi:type="dcterms:W3CDTF">2024-08-18T15:05:00Z</dcterms:modified>
</cp:coreProperties>
</file>