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D8" w:rsidRDefault="008711D8" w:rsidP="008711D8">
      <w:pPr>
        <w:pStyle w:val="a3"/>
        <w:shd w:val="clear" w:color="auto" w:fill="FFFFFF"/>
        <w:spacing w:before="0" w:beforeAutospacing="0" w:after="195" w:afterAutospacing="0"/>
        <w:jc w:val="center"/>
        <w:rPr>
          <w:rFonts w:ascii="Tahoma" w:hAnsi="Tahoma" w:cs="Tahoma"/>
          <w:color w:val="5E6D81"/>
          <w:sz w:val="20"/>
          <w:szCs w:val="20"/>
        </w:rPr>
      </w:pPr>
      <w:r>
        <w:rPr>
          <w:rFonts w:ascii="Calibri" w:hAnsi="Calibri" w:cs="Calibri"/>
          <w:b/>
          <w:bCs/>
          <w:color w:val="000000"/>
          <w:spacing w:val="-14"/>
          <w:sz w:val="28"/>
          <w:szCs w:val="28"/>
        </w:rPr>
        <w:t>АДМИНИСТРАЦИЯ ДЕРБИШЕВСКОГО СЕЛЬСКОГО ПОСЕЛЕНИЯ</w:t>
      </w:r>
    </w:p>
    <w:p w:rsidR="008711D8" w:rsidRDefault="008711D8" w:rsidP="008711D8">
      <w:pPr>
        <w:pStyle w:val="a3"/>
        <w:shd w:val="clear" w:color="auto" w:fill="FFFFFF"/>
        <w:spacing w:before="0" w:beforeAutospacing="0" w:after="195" w:afterAutospacing="0"/>
        <w:jc w:val="center"/>
        <w:rPr>
          <w:rFonts w:ascii="Tahoma" w:hAnsi="Tahoma" w:cs="Tahoma"/>
          <w:color w:val="5E6D81"/>
          <w:sz w:val="20"/>
          <w:szCs w:val="20"/>
        </w:rPr>
      </w:pPr>
      <w:r>
        <w:rPr>
          <w:rFonts w:ascii="Calibri" w:hAnsi="Calibri" w:cs="Calibri"/>
          <w:b/>
          <w:bCs/>
          <w:color w:val="000000"/>
          <w:spacing w:val="-14"/>
          <w:sz w:val="28"/>
          <w:szCs w:val="28"/>
        </w:rPr>
        <w:t>АРГАЯШСКОГО МУНИЦИПАЛЬНОГО РАЙОНА</w:t>
      </w:r>
    </w:p>
    <w:p w:rsidR="008711D8" w:rsidRDefault="008711D8" w:rsidP="008711D8">
      <w:pPr>
        <w:pStyle w:val="a3"/>
        <w:shd w:val="clear" w:color="auto" w:fill="FFFFFF"/>
        <w:spacing w:before="0" w:beforeAutospacing="0" w:after="195" w:afterAutospacing="0"/>
        <w:jc w:val="center"/>
        <w:rPr>
          <w:rFonts w:ascii="Tahoma" w:hAnsi="Tahoma" w:cs="Tahoma"/>
          <w:color w:val="5E6D81"/>
          <w:sz w:val="20"/>
          <w:szCs w:val="20"/>
        </w:rPr>
      </w:pPr>
      <w:r>
        <w:rPr>
          <w:rFonts w:ascii="Calibri" w:hAnsi="Calibri" w:cs="Calibri"/>
          <w:b/>
          <w:bCs/>
          <w:color w:val="000000"/>
          <w:spacing w:val="-14"/>
          <w:sz w:val="28"/>
          <w:szCs w:val="28"/>
        </w:rPr>
        <w:t>ЧЕЛЯБИНСКОЙ ОБЛАСТИ</w:t>
      </w:r>
    </w:p>
    <w:p w:rsidR="008711D8" w:rsidRDefault="008711D8" w:rsidP="008711D8">
      <w:pPr>
        <w:pStyle w:val="a3"/>
        <w:shd w:val="clear" w:color="auto" w:fill="FFFFFF"/>
        <w:spacing w:before="0" w:beforeAutospacing="0" w:after="195" w:afterAutospacing="0"/>
        <w:jc w:val="center"/>
        <w:rPr>
          <w:rFonts w:ascii="Tahoma" w:hAnsi="Tahoma" w:cs="Tahoma"/>
          <w:color w:val="5E6D81"/>
          <w:sz w:val="20"/>
          <w:szCs w:val="20"/>
        </w:rPr>
      </w:pPr>
      <w:r>
        <w:rPr>
          <w:rFonts w:ascii="Calibri" w:hAnsi="Calibri" w:cs="Calibri"/>
          <w:b/>
          <w:bCs/>
          <w:color w:val="000000"/>
          <w:spacing w:val="-14"/>
          <w:sz w:val="28"/>
          <w:szCs w:val="28"/>
        </w:rPr>
        <w:t>ПОСТАНОВЛЕНИЕ</w:t>
      </w:r>
    </w:p>
    <w:p w:rsidR="008711D8" w:rsidRDefault="008711D8" w:rsidP="008711D8">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rFonts w:ascii="Calibri" w:hAnsi="Calibri" w:cs="Calibri"/>
          <w:color w:val="000000"/>
          <w:spacing w:val="-14"/>
          <w:sz w:val="28"/>
          <w:szCs w:val="28"/>
        </w:rPr>
        <w:t xml:space="preserve">«25» </w:t>
      </w:r>
      <w:proofErr w:type="gramStart"/>
      <w:r>
        <w:rPr>
          <w:rFonts w:ascii="Calibri" w:hAnsi="Calibri" w:cs="Calibri"/>
          <w:color w:val="000000"/>
          <w:spacing w:val="-14"/>
          <w:sz w:val="28"/>
          <w:szCs w:val="28"/>
        </w:rPr>
        <w:t>декабря  2019</w:t>
      </w:r>
      <w:proofErr w:type="gramEnd"/>
      <w:r>
        <w:rPr>
          <w:rFonts w:ascii="Calibri" w:hAnsi="Calibri" w:cs="Calibri"/>
          <w:color w:val="000000"/>
          <w:spacing w:val="-14"/>
          <w:sz w:val="28"/>
          <w:szCs w:val="28"/>
        </w:rPr>
        <w:t>  года                                                                                                                № 241</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6"/>
        <w:shd w:val="clear" w:color="auto" w:fill="FFFFFF"/>
        <w:spacing w:before="0" w:beforeAutospacing="0" w:after="0" w:afterAutospacing="0"/>
        <w:jc w:val="both"/>
        <w:rPr>
          <w:rFonts w:ascii="Tahoma" w:hAnsi="Tahoma" w:cs="Tahoma"/>
          <w:color w:val="5E6D81"/>
          <w:sz w:val="20"/>
          <w:szCs w:val="20"/>
        </w:rPr>
      </w:pPr>
      <w:r>
        <w:rPr>
          <w:color w:val="5E6D81"/>
        </w:rPr>
        <w:t>Об утверждении порядка составления,</w:t>
      </w:r>
    </w:p>
    <w:p w:rsidR="008711D8" w:rsidRDefault="008711D8" w:rsidP="008711D8">
      <w:pPr>
        <w:pStyle w:val="a6"/>
        <w:shd w:val="clear" w:color="auto" w:fill="FFFFFF"/>
        <w:spacing w:before="0" w:beforeAutospacing="0" w:after="0" w:afterAutospacing="0"/>
        <w:jc w:val="both"/>
        <w:rPr>
          <w:rFonts w:ascii="Tahoma" w:hAnsi="Tahoma" w:cs="Tahoma"/>
          <w:color w:val="5E6D81"/>
          <w:sz w:val="20"/>
          <w:szCs w:val="20"/>
        </w:rPr>
      </w:pPr>
      <w:r>
        <w:rPr>
          <w:color w:val="5E6D81"/>
        </w:rPr>
        <w:t>утверждения и ведения бюджетной сметы</w:t>
      </w:r>
    </w:p>
    <w:p w:rsidR="008711D8" w:rsidRDefault="008711D8" w:rsidP="008711D8">
      <w:pPr>
        <w:pStyle w:val="a6"/>
        <w:shd w:val="clear" w:color="auto" w:fill="FFFFFF"/>
        <w:spacing w:before="0" w:beforeAutospacing="0" w:after="0" w:afterAutospacing="0"/>
        <w:jc w:val="both"/>
        <w:rPr>
          <w:rFonts w:ascii="Tahoma" w:hAnsi="Tahoma" w:cs="Tahoma"/>
          <w:color w:val="5E6D81"/>
          <w:sz w:val="20"/>
          <w:szCs w:val="20"/>
        </w:rPr>
      </w:pPr>
      <w:proofErr w:type="spellStart"/>
      <w:r>
        <w:rPr>
          <w:color w:val="5E6D81"/>
        </w:rPr>
        <w:t>Дербишевского</w:t>
      </w:r>
      <w:proofErr w:type="spellEnd"/>
      <w:r>
        <w:rPr>
          <w:color w:val="5E6D81"/>
        </w:rPr>
        <w:t xml:space="preserve"> сельского поселения</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3"/>
        <w:shd w:val="clear" w:color="auto" w:fill="FFFFFF"/>
        <w:spacing w:before="0" w:beforeAutospacing="0" w:after="195" w:afterAutospacing="0"/>
        <w:ind w:left="855"/>
        <w:jc w:val="both"/>
        <w:rPr>
          <w:rFonts w:ascii="Tahoma" w:hAnsi="Tahoma" w:cs="Tahoma"/>
          <w:color w:val="5E6D81"/>
          <w:sz w:val="20"/>
          <w:szCs w:val="20"/>
        </w:rPr>
      </w:pPr>
      <w:r>
        <w:rPr>
          <w:color w:val="5E6D81"/>
        </w:rPr>
        <w:t xml:space="preserve">  1. </w:t>
      </w:r>
      <w:proofErr w:type="gramStart"/>
      <w:r>
        <w:rPr>
          <w:color w:val="5E6D81"/>
        </w:rPr>
        <w:t>Утвердить  Порядок</w:t>
      </w:r>
      <w:proofErr w:type="gramEnd"/>
      <w:r>
        <w:rPr>
          <w:color w:val="5E6D81"/>
        </w:rPr>
        <w:t xml:space="preserve"> составления, утверждения и составления бюджетной сметы </w:t>
      </w:r>
      <w:proofErr w:type="spellStart"/>
      <w:r>
        <w:rPr>
          <w:color w:val="5E6D81"/>
        </w:rPr>
        <w:t>Дербишевского</w:t>
      </w:r>
      <w:proofErr w:type="spellEnd"/>
      <w:r>
        <w:rPr>
          <w:color w:val="5E6D81"/>
        </w:rPr>
        <w:t xml:space="preserve"> сельского поселения» (приложение).</w:t>
      </w:r>
    </w:p>
    <w:p w:rsidR="008711D8" w:rsidRDefault="008711D8" w:rsidP="008711D8">
      <w:pPr>
        <w:pStyle w:val="a3"/>
        <w:shd w:val="clear" w:color="auto" w:fill="FFFFFF"/>
        <w:spacing w:before="0" w:beforeAutospacing="0" w:after="195" w:afterAutospacing="0"/>
        <w:ind w:left="855"/>
        <w:jc w:val="both"/>
        <w:rPr>
          <w:rFonts w:ascii="Tahoma" w:hAnsi="Tahoma" w:cs="Tahoma"/>
          <w:color w:val="5E6D81"/>
          <w:sz w:val="20"/>
          <w:szCs w:val="20"/>
        </w:rPr>
      </w:pPr>
      <w:r>
        <w:rPr>
          <w:color w:val="5E6D81"/>
        </w:rPr>
        <w:t xml:space="preserve">2.  Контроль за исполнением настоящего постановления возложить на заместителя главы     администрации сельского поселения </w:t>
      </w:r>
      <w:proofErr w:type="spellStart"/>
      <w:r>
        <w:rPr>
          <w:color w:val="5E6D81"/>
        </w:rPr>
        <w:t>Абсалямову</w:t>
      </w:r>
      <w:proofErr w:type="spellEnd"/>
      <w:r>
        <w:rPr>
          <w:color w:val="5E6D81"/>
        </w:rPr>
        <w:t xml:space="preserve"> Г.Г.</w:t>
      </w:r>
    </w:p>
    <w:p w:rsidR="008711D8" w:rsidRDefault="008711D8" w:rsidP="008711D8">
      <w:pPr>
        <w:numPr>
          <w:ilvl w:val="0"/>
          <w:numId w:val="3"/>
        </w:numPr>
        <w:shd w:val="clear" w:color="auto" w:fill="FFFFFF"/>
        <w:spacing w:before="100" w:beforeAutospacing="1" w:after="195" w:line="240" w:lineRule="auto"/>
        <w:ind w:left="1335"/>
        <w:jc w:val="both"/>
        <w:rPr>
          <w:rFonts w:ascii="Tahoma" w:hAnsi="Tahoma" w:cs="Tahoma"/>
          <w:color w:val="5E6D81"/>
          <w:sz w:val="20"/>
          <w:szCs w:val="20"/>
        </w:rPr>
      </w:pPr>
      <w:r>
        <w:rPr>
          <w:color w:val="5E6D81"/>
        </w:rPr>
        <w:t xml:space="preserve">Признать утратившим силу постановление администрации </w:t>
      </w:r>
      <w:proofErr w:type="spellStart"/>
      <w:r>
        <w:rPr>
          <w:color w:val="5E6D81"/>
        </w:rPr>
        <w:t>Дербишевского</w:t>
      </w:r>
      <w:proofErr w:type="spellEnd"/>
      <w:r>
        <w:rPr>
          <w:color w:val="5E6D81"/>
        </w:rPr>
        <w:t xml:space="preserve"> сельского поселения от 28.12.2018 г.  № 609 «Об утверждении Порядка составления и ведения кассового плана </w:t>
      </w:r>
      <w:proofErr w:type="gramStart"/>
      <w:r>
        <w:rPr>
          <w:color w:val="5E6D81"/>
        </w:rPr>
        <w:t>исполнения  бюджета</w:t>
      </w:r>
      <w:proofErr w:type="gramEnd"/>
      <w:r>
        <w:rPr>
          <w:color w:val="5E6D81"/>
        </w:rPr>
        <w:t xml:space="preserve"> </w:t>
      </w:r>
      <w:proofErr w:type="spellStart"/>
      <w:r>
        <w:rPr>
          <w:color w:val="5E6D81"/>
        </w:rPr>
        <w:t>Дербишевского</w:t>
      </w:r>
      <w:proofErr w:type="spellEnd"/>
      <w:r>
        <w:rPr>
          <w:color w:val="5E6D81"/>
        </w:rPr>
        <w:t xml:space="preserve"> сельского поселения».</w:t>
      </w:r>
    </w:p>
    <w:p w:rsidR="008711D8" w:rsidRDefault="008711D8" w:rsidP="008711D8">
      <w:pPr>
        <w:numPr>
          <w:ilvl w:val="0"/>
          <w:numId w:val="3"/>
        </w:numPr>
        <w:shd w:val="clear" w:color="auto" w:fill="FFFFFF"/>
        <w:spacing w:before="100" w:beforeAutospacing="1" w:after="100" w:afterAutospacing="1" w:line="240" w:lineRule="auto"/>
        <w:ind w:left="1335"/>
        <w:jc w:val="both"/>
        <w:rPr>
          <w:rFonts w:ascii="Tahoma" w:hAnsi="Tahoma" w:cs="Tahoma"/>
          <w:color w:val="5E6D81"/>
          <w:sz w:val="20"/>
          <w:szCs w:val="20"/>
        </w:rPr>
      </w:pPr>
      <w:r>
        <w:rPr>
          <w:color w:val="5E6D81"/>
        </w:rPr>
        <w:t> Настоящее постановление вступает в силу с 01.01.2020 года.</w:t>
      </w:r>
    </w:p>
    <w:p w:rsidR="008711D8" w:rsidRDefault="008711D8" w:rsidP="008711D8">
      <w:pPr>
        <w:pStyle w:val="a3"/>
        <w:shd w:val="clear" w:color="auto" w:fill="FFFFFF"/>
        <w:spacing w:before="0" w:beforeAutospacing="0" w:after="195" w:afterAutospacing="0"/>
        <w:ind w:left="99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3"/>
        <w:shd w:val="clear" w:color="auto" w:fill="FFFFFF"/>
        <w:spacing w:before="0" w:beforeAutospacing="0" w:after="195" w:afterAutospacing="0"/>
        <w:ind w:left="990"/>
        <w:jc w:val="both"/>
        <w:rPr>
          <w:rFonts w:ascii="Tahoma" w:hAnsi="Tahoma" w:cs="Tahoma"/>
          <w:color w:val="5E6D81"/>
          <w:sz w:val="20"/>
          <w:szCs w:val="20"/>
        </w:rPr>
      </w:pPr>
      <w:r>
        <w:rPr>
          <w:color w:val="5E6D81"/>
        </w:rPr>
        <w:t>Глава администрации Дербишевского                                                                                                         поселения                                                                                   З.Г. Сулейманов</w:t>
      </w:r>
    </w:p>
    <w:p w:rsidR="008711D8" w:rsidRDefault="008711D8" w:rsidP="008711D8">
      <w:pPr>
        <w:pStyle w:val="21"/>
        <w:shd w:val="clear" w:color="auto" w:fill="FFFFFF"/>
        <w:spacing w:before="0" w:beforeAutospacing="0" w:after="0" w:afterAutospacing="0"/>
        <w:jc w:val="right"/>
        <w:rPr>
          <w:rFonts w:ascii="Tahoma" w:hAnsi="Tahoma" w:cs="Tahoma"/>
          <w:color w:val="5E6D81"/>
          <w:sz w:val="20"/>
          <w:szCs w:val="20"/>
        </w:rPr>
      </w:pPr>
      <w:r>
        <w:rPr>
          <w:color w:val="5E6D81"/>
        </w:rPr>
        <w:t>            </w:t>
      </w:r>
    </w:p>
    <w:p w:rsidR="008711D8" w:rsidRDefault="008711D8" w:rsidP="008711D8">
      <w:pPr>
        <w:pStyle w:val="21"/>
        <w:shd w:val="clear" w:color="auto" w:fill="FFFFFF"/>
        <w:spacing w:before="0" w:beforeAutospacing="0" w:after="0" w:afterAutospacing="0"/>
        <w:jc w:val="right"/>
        <w:rPr>
          <w:rFonts w:ascii="Tahoma" w:hAnsi="Tahoma" w:cs="Tahoma"/>
          <w:color w:val="5E6D81"/>
          <w:sz w:val="20"/>
          <w:szCs w:val="20"/>
        </w:rPr>
      </w:pPr>
      <w:r>
        <w:rPr>
          <w:color w:val="5E6D81"/>
        </w:rPr>
        <w:t>  Приложение</w:t>
      </w:r>
    </w:p>
    <w:p w:rsidR="008711D8" w:rsidRDefault="008711D8" w:rsidP="008711D8">
      <w:pPr>
        <w:pStyle w:val="21"/>
        <w:shd w:val="clear" w:color="auto" w:fill="FFFFFF"/>
        <w:spacing w:before="0" w:beforeAutospacing="0" w:after="0" w:afterAutospacing="0"/>
        <w:jc w:val="right"/>
        <w:rPr>
          <w:rFonts w:ascii="Tahoma" w:hAnsi="Tahoma" w:cs="Tahoma"/>
          <w:color w:val="5E6D81"/>
          <w:sz w:val="20"/>
          <w:szCs w:val="20"/>
        </w:rPr>
      </w:pPr>
      <w:r>
        <w:rPr>
          <w:color w:val="5E6D81"/>
        </w:rPr>
        <w:t>                                                                                                            к постановлению администрации </w:t>
      </w:r>
    </w:p>
    <w:p w:rsidR="008711D8" w:rsidRDefault="008711D8" w:rsidP="008711D8">
      <w:pPr>
        <w:pStyle w:val="a3"/>
        <w:shd w:val="clear" w:color="auto" w:fill="FFFFFF"/>
        <w:spacing w:before="0" w:beforeAutospacing="0" w:after="195" w:afterAutospacing="0"/>
        <w:jc w:val="right"/>
        <w:rPr>
          <w:rFonts w:ascii="Tahoma" w:hAnsi="Tahoma" w:cs="Tahoma"/>
          <w:color w:val="5E6D81"/>
          <w:sz w:val="20"/>
          <w:szCs w:val="20"/>
        </w:rPr>
      </w:pPr>
      <w:r>
        <w:rPr>
          <w:color w:val="5E6D81"/>
        </w:rPr>
        <w:t xml:space="preserve">                                                                                                      </w:t>
      </w:r>
      <w:proofErr w:type="spellStart"/>
      <w:r>
        <w:rPr>
          <w:color w:val="5E6D81"/>
        </w:rPr>
        <w:t>Дербишевского</w:t>
      </w:r>
      <w:proofErr w:type="spellEnd"/>
      <w:r>
        <w:rPr>
          <w:color w:val="5E6D81"/>
        </w:rPr>
        <w:t xml:space="preserve"> сельского поселения</w:t>
      </w:r>
    </w:p>
    <w:p w:rsidR="008711D8" w:rsidRDefault="008711D8" w:rsidP="008711D8">
      <w:pPr>
        <w:pStyle w:val="a3"/>
        <w:shd w:val="clear" w:color="auto" w:fill="FFFFFF"/>
        <w:spacing w:before="0" w:beforeAutospacing="0" w:after="195" w:afterAutospacing="0"/>
        <w:jc w:val="right"/>
        <w:rPr>
          <w:rFonts w:ascii="Tahoma" w:hAnsi="Tahoma" w:cs="Tahoma"/>
          <w:color w:val="5E6D81"/>
          <w:sz w:val="20"/>
          <w:szCs w:val="20"/>
        </w:rPr>
      </w:pPr>
      <w:r>
        <w:rPr>
          <w:color w:val="5E6D81"/>
        </w:rPr>
        <w:t>                                                                                                                         от 26.12. 2019г. № 101   </w:t>
      </w:r>
    </w:p>
    <w:p w:rsidR="008711D8" w:rsidRDefault="008711D8" w:rsidP="008711D8">
      <w:pPr>
        <w:pStyle w:val="ac"/>
        <w:shd w:val="clear" w:color="auto" w:fill="FFFFFF"/>
        <w:spacing w:before="0" w:beforeAutospacing="0" w:after="0" w:afterAutospacing="0"/>
        <w:ind w:left="720" w:right="720"/>
        <w:jc w:val="center"/>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c"/>
        <w:shd w:val="clear" w:color="auto" w:fill="FFFFFF"/>
        <w:spacing w:before="0" w:beforeAutospacing="0" w:after="0" w:afterAutospacing="0"/>
        <w:ind w:left="720" w:right="720"/>
        <w:jc w:val="center"/>
        <w:rPr>
          <w:rFonts w:ascii="Tahoma" w:hAnsi="Tahoma" w:cs="Tahoma"/>
          <w:color w:val="5E6D81"/>
          <w:sz w:val="20"/>
          <w:szCs w:val="20"/>
        </w:rPr>
      </w:pPr>
      <w:r>
        <w:rPr>
          <w:rStyle w:val="aa"/>
          <w:rFonts w:ascii="Calibri" w:hAnsi="Calibri" w:cs="Calibri"/>
          <w:i w:val="0"/>
          <w:iCs w:val="0"/>
          <w:color w:val="5E6D81"/>
          <w:sz w:val="28"/>
          <w:szCs w:val="28"/>
        </w:rPr>
        <w:t>Порядок составления, утверждения и ведения бюджетной сметы Администрации </w:t>
      </w:r>
      <w:proofErr w:type="spellStart"/>
      <w:r>
        <w:rPr>
          <w:color w:val="5E6D81"/>
          <w:sz w:val="28"/>
          <w:szCs w:val="28"/>
        </w:rPr>
        <w:t>Дербишев</w:t>
      </w:r>
      <w:r>
        <w:rPr>
          <w:rStyle w:val="aa"/>
          <w:rFonts w:ascii="Calibri" w:hAnsi="Calibri" w:cs="Calibri"/>
          <w:i w:val="0"/>
          <w:iCs w:val="0"/>
          <w:color w:val="5E6D81"/>
          <w:sz w:val="28"/>
          <w:szCs w:val="28"/>
        </w:rPr>
        <w:t>ского</w:t>
      </w:r>
      <w:proofErr w:type="spellEnd"/>
      <w:r>
        <w:rPr>
          <w:rStyle w:val="aa"/>
          <w:rFonts w:ascii="Calibri" w:hAnsi="Calibri" w:cs="Calibri"/>
          <w:i w:val="0"/>
          <w:iCs w:val="0"/>
          <w:color w:val="5E6D81"/>
          <w:sz w:val="28"/>
          <w:szCs w:val="28"/>
        </w:rPr>
        <w:t xml:space="preserve"> сельского поселения</w:t>
      </w:r>
    </w:p>
    <w:p w:rsidR="008711D8" w:rsidRDefault="008711D8" w:rsidP="008711D8">
      <w:pPr>
        <w:pStyle w:val="a3"/>
        <w:shd w:val="clear" w:color="auto" w:fill="FFFFFF"/>
        <w:spacing w:before="0" w:beforeAutospacing="0" w:after="195" w:afterAutospacing="0"/>
        <w:jc w:val="center"/>
        <w:rPr>
          <w:rFonts w:ascii="Tahoma" w:hAnsi="Tahoma" w:cs="Tahoma"/>
          <w:color w:val="5E6D81"/>
          <w:sz w:val="20"/>
          <w:szCs w:val="20"/>
        </w:rPr>
      </w:pPr>
      <w:r>
        <w:rPr>
          <w:b/>
          <w:bCs/>
          <w:color w:val="5E6D81"/>
        </w:rPr>
        <w:t>1. Общие положения</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color w:val="5E6D81"/>
          <w:sz w:val="20"/>
          <w:szCs w:val="20"/>
        </w:rPr>
        <w:t xml:space="preserve">1.1. Настоящий Порядок определяет правила составления, утверждения и ведения бюджетной </w:t>
      </w:r>
      <w:proofErr w:type="gramStart"/>
      <w:r>
        <w:rPr>
          <w:color w:val="5E6D81"/>
          <w:sz w:val="20"/>
          <w:szCs w:val="20"/>
        </w:rPr>
        <w:t>сметы  Администрации</w:t>
      </w:r>
      <w:proofErr w:type="gramEnd"/>
      <w:r>
        <w:rPr>
          <w:color w:val="5E6D81"/>
          <w:sz w:val="20"/>
          <w:szCs w:val="20"/>
        </w:rPr>
        <w:t xml:space="preserve"> </w:t>
      </w:r>
      <w:proofErr w:type="spellStart"/>
      <w:r>
        <w:rPr>
          <w:color w:val="5E6D81"/>
          <w:sz w:val="20"/>
          <w:szCs w:val="20"/>
        </w:rPr>
        <w:t>Дербишевского</w:t>
      </w:r>
      <w:proofErr w:type="spellEnd"/>
      <w:r>
        <w:rPr>
          <w:color w:val="5E6D81"/>
          <w:sz w:val="20"/>
          <w:szCs w:val="20"/>
        </w:rPr>
        <w:t xml:space="preserve"> сельского поселения в соответствии со статьями 121 Бюджетного кодекса Российской Федерации</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color w:val="5E6D81"/>
          <w:sz w:val="20"/>
          <w:szCs w:val="20"/>
        </w:rPr>
        <w:t>1.2. Бюджетная смета - документ, устанавливающий в соответствии с классификацией расходов бюджета лимиты бюджетных обязательств казенного учреждения.</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color w:val="5E6D81"/>
          <w:sz w:val="20"/>
          <w:szCs w:val="20"/>
        </w:rPr>
        <w:lastRenderedPageBreak/>
        <w:t xml:space="preserve">1.3. Порядок составления, утверждения и ведения смет учреждения </w:t>
      </w:r>
      <w:proofErr w:type="gramStart"/>
      <w:r>
        <w:rPr>
          <w:color w:val="5E6D81"/>
          <w:sz w:val="20"/>
          <w:szCs w:val="20"/>
        </w:rPr>
        <w:t>устанавливаются  Администрацией</w:t>
      </w:r>
      <w:proofErr w:type="gramEnd"/>
      <w:r>
        <w:rPr>
          <w:color w:val="5E6D81"/>
          <w:sz w:val="20"/>
          <w:szCs w:val="20"/>
        </w:rPr>
        <w:t xml:space="preserve"> </w:t>
      </w:r>
      <w:proofErr w:type="spellStart"/>
      <w:r>
        <w:rPr>
          <w:color w:val="5E6D81"/>
          <w:sz w:val="20"/>
          <w:szCs w:val="20"/>
        </w:rPr>
        <w:t>Дербишевского</w:t>
      </w:r>
      <w:proofErr w:type="spellEnd"/>
      <w:r>
        <w:rPr>
          <w:color w:val="5E6D81"/>
          <w:sz w:val="20"/>
          <w:szCs w:val="20"/>
        </w:rPr>
        <w:t xml:space="preserve"> сельского поселения с настоящими Общими требованиями и принимается в форме единого документа.</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b/>
          <w:bCs/>
          <w:color w:val="5E6D81"/>
          <w:sz w:val="20"/>
          <w:szCs w:val="20"/>
        </w:rPr>
        <w:t>2. Составление сметы учреждения</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2.1. Составлением сметы в целях настоящих Общих требований является установление объема и распределения направлений расходов бюджета на срок закона (решения) о бюджете на очередной финансовый год (на очередной финансовый год и плановый период) на основании доведенных до учреждения в установленном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 xml:space="preserve">В смете </w:t>
      </w:r>
      <w:proofErr w:type="spellStart"/>
      <w:r>
        <w:rPr>
          <w:color w:val="5E6D81"/>
        </w:rPr>
        <w:t>справочно</w:t>
      </w:r>
      <w:proofErr w:type="spellEnd"/>
      <w:r>
        <w:rPr>
          <w:color w:val="5E6D81"/>
        </w:rPr>
        <w:t xml:space="preserve"> указываются объем и распределение направлений расходов на исполнение публичных нормативных обязательств.</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В смете дополнительно утверждаются иные показатели, предусмотренные установленным Министерством финансов Российской Федерации в соответствии с </w:t>
      </w:r>
      <w:hyperlink r:id="rId5" w:anchor="block_1004" w:history="1">
        <w:r>
          <w:rPr>
            <w:rStyle w:val="a5"/>
          </w:rPr>
          <w:t>пунктом </w:t>
        </w:r>
      </w:hyperlink>
      <w:r>
        <w:rPr>
          <w:color w:val="5E6D81"/>
        </w:rPr>
        <w:t>1.3 настоящих Общих требований </w:t>
      </w:r>
      <w:hyperlink r:id="rId6" w:anchor="block_1000" w:history="1">
        <w:r>
          <w:rPr>
            <w:rStyle w:val="a5"/>
          </w:rPr>
          <w:t>порядком</w:t>
        </w:r>
      </w:hyperlink>
      <w:r>
        <w:rPr>
          <w:rFonts w:ascii="Calibri" w:hAnsi="Calibri" w:cs="Calibri"/>
          <w:color w:val="5E6D81"/>
          <w:sz w:val="22"/>
          <w:szCs w:val="22"/>
        </w:rPr>
        <w:t> </w:t>
      </w:r>
      <w:r>
        <w:rPr>
          <w:color w:val="5E6D81"/>
        </w:rPr>
        <w:t>составления и ведения бюджетных смет местного бюджета, бюджета (далее при совместном упоминании - Порядок ведения сметы).</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2.2 Показатели сметы формируются в разрезе кодов классификации расходов бюджета </w:t>
      </w:r>
      <w:proofErr w:type="spellStart"/>
      <w:r>
        <w:rPr>
          <w:color w:val="5E6D81"/>
        </w:rPr>
        <w:t>Дербише</w:t>
      </w:r>
      <w:r>
        <w:rPr>
          <w:rFonts w:ascii="Calibri" w:hAnsi="Calibri" w:cs="Calibri"/>
          <w:color w:val="5E6D81"/>
          <w:sz w:val="22"/>
          <w:szCs w:val="22"/>
        </w:rPr>
        <w:t>в</w:t>
      </w:r>
      <w:r>
        <w:rPr>
          <w:color w:val="5E6D81"/>
        </w:rPr>
        <w:t>ского</w:t>
      </w:r>
      <w:proofErr w:type="spellEnd"/>
      <w:r>
        <w:rPr>
          <w:color w:val="5E6D81"/>
        </w:rPr>
        <w:t xml:space="preserve"> сельского поселения с детализацией по кодам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2.3.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w:t>
      </w:r>
      <w:hyperlink r:id="rId7" w:anchor="block_10000" w:history="1">
        <w:r>
          <w:rPr>
            <w:rStyle w:val="a5"/>
          </w:rPr>
          <w:t>приложениях N 1</w:t>
        </w:r>
      </w:hyperlink>
      <w:r>
        <w:rPr>
          <w:rFonts w:ascii="Calibri" w:hAnsi="Calibri" w:cs="Calibri"/>
          <w:color w:val="5E6D81"/>
          <w:sz w:val="22"/>
          <w:szCs w:val="22"/>
        </w:rPr>
        <w:t> </w:t>
      </w:r>
      <w:r>
        <w:rPr>
          <w:color w:val="5E6D81"/>
        </w:rPr>
        <w:t>и </w:t>
      </w:r>
      <w:hyperlink r:id="rId8" w:anchor="block_20000" w:history="1">
        <w:r>
          <w:rPr>
            <w:rStyle w:val="a5"/>
          </w:rPr>
          <w:t>2</w:t>
        </w:r>
      </w:hyperlink>
      <w:r>
        <w:rPr>
          <w:rFonts w:ascii="Calibri" w:hAnsi="Calibri" w:cs="Calibri"/>
          <w:color w:val="5E6D81"/>
          <w:sz w:val="22"/>
          <w:szCs w:val="22"/>
        </w:rPr>
        <w:t> </w:t>
      </w:r>
      <w:r>
        <w:rPr>
          <w:color w:val="5E6D81"/>
        </w:rPr>
        <w:t>к настоящим Общим требованиям).</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Смета составляется на основании </w:t>
      </w:r>
      <w:hyperlink r:id="rId9" w:history="1">
        <w:r>
          <w:rPr>
            <w:rStyle w:val="a5"/>
          </w:rPr>
          <w:t>обоснований (расчетов)</w:t>
        </w:r>
      </w:hyperlink>
      <w:r>
        <w:rPr>
          <w:rFonts w:ascii="Calibri" w:hAnsi="Calibri" w:cs="Calibri"/>
          <w:color w:val="5E6D81"/>
          <w:sz w:val="22"/>
          <w:szCs w:val="22"/>
        </w:rPr>
        <w:t> </w:t>
      </w:r>
      <w:r>
        <w:rPr>
          <w:color w:val="5E6D81"/>
        </w:rPr>
        <w:t>плановых сметных показателей, являющихся неотъемлемой частью сметы.</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Обоснования (расчеты) плановых сметных показателей составляются в процессе формирования проекта закона (решения) о бюджете на очередной финансовый год (на очередной финансовый год и плановый период) и утверждаются в соответствии с </w:t>
      </w:r>
      <w:hyperlink r:id="rId10" w:anchor="block_300" w:history="1">
        <w:r>
          <w:rPr>
            <w:rStyle w:val="a5"/>
          </w:rPr>
          <w:t>главой III</w:t>
        </w:r>
      </w:hyperlink>
      <w:r>
        <w:rPr>
          <w:rFonts w:ascii="Calibri" w:hAnsi="Calibri" w:cs="Calibri"/>
          <w:color w:val="5E6D81"/>
          <w:sz w:val="22"/>
          <w:szCs w:val="22"/>
        </w:rPr>
        <w:t> </w:t>
      </w:r>
      <w:r>
        <w:rPr>
          <w:color w:val="5E6D81"/>
        </w:rPr>
        <w:t>настоящих Общих требований.</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b/>
          <w:bCs/>
          <w:color w:val="5E6D81"/>
        </w:rPr>
        <w:t>3. Утверждение смет учреждения</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color w:val="5E6D81"/>
        </w:rPr>
        <w:t xml:space="preserve">3.1. Смета администрации </w:t>
      </w:r>
      <w:proofErr w:type="spellStart"/>
      <w:r>
        <w:rPr>
          <w:color w:val="5E6D81"/>
        </w:rPr>
        <w:t>Дербишевского</w:t>
      </w:r>
      <w:proofErr w:type="spellEnd"/>
      <w:r>
        <w:rPr>
          <w:color w:val="5E6D81"/>
        </w:rPr>
        <w:t xml:space="preserve"> сельского поселения, являющегося главным распорядителем средств бюджета, утверждается главой </w:t>
      </w:r>
      <w:proofErr w:type="spellStart"/>
      <w:r>
        <w:rPr>
          <w:color w:val="5E6D81"/>
        </w:rPr>
        <w:t>Дербишевского</w:t>
      </w:r>
      <w:proofErr w:type="spellEnd"/>
      <w:r>
        <w:rPr>
          <w:color w:val="5E6D81"/>
        </w:rPr>
        <w:t xml:space="preserve"> сельского поселения.</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color w:val="5E6D81"/>
        </w:rPr>
        <w:t>3.2. Утверждение сметы осуществляется не позднее десяти рабочих дней со дня доведения учреждению в установленном порядке лимитов бюджетных обязательств</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numPr>
          <w:ilvl w:val="0"/>
          <w:numId w:val="4"/>
        </w:numPr>
        <w:shd w:val="clear" w:color="auto" w:fill="FFFFFF"/>
        <w:spacing w:before="100" w:beforeAutospacing="1" w:after="100" w:afterAutospacing="1" w:line="240" w:lineRule="auto"/>
        <w:ind w:left="840"/>
        <w:jc w:val="center"/>
        <w:rPr>
          <w:rFonts w:ascii="Tahoma" w:hAnsi="Tahoma" w:cs="Tahoma"/>
          <w:color w:val="5E6D81"/>
          <w:sz w:val="20"/>
          <w:szCs w:val="20"/>
        </w:rPr>
      </w:pPr>
      <w:r>
        <w:rPr>
          <w:b/>
          <w:bCs/>
          <w:color w:val="5E6D81"/>
        </w:rPr>
        <w:t>Ведение смет учреждения</w:t>
      </w:r>
    </w:p>
    <w:p w:rsidR="008711D8" w:rsidRDefault="008711D8" w:rsidP="008711D8">
      <w:pPr>
        <w:pStyle w:val="ab"/>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4.1 Ведением сметы в целях настоящих Общих требований является внесение изменений в показатели сметы в пределах доведенных лимитов бюджетных обязательств.</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Изменения показателей сметы составляются учреждением (</w:t>
      </w:r>
      <w:hyperlink r:id="rId11" w:anchor="block_20000" w:history="1">
        <w:r>
          <w:rPr>
            <w:rStyle w:val="a5"/>
          </w:rPr>
          <w:t>приложении N 2</w:t>
        </w:r>
      </w:hyperlink>
      <w:r>
        <w:rPr>
          <w:color w:val="5E6D81"/>
        </w:rPr>
        <w:t>) к настоящим Общим требованиям.</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4.2.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 изменяющих объемы сметных назначений в случае изменения доведенных учреждению лимитов бюджетных обязательств;</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   изменяющих распределение сметных назначений по кодам классификации расходов бюджетов </w:t>
      </w:r>
      <w:hyperlink r:id="rId12" w:anchor="block_100000" w:history="1">
        <w:r>
          <w:rPr>
            <w:rStyle w:val="a5"/>
          </w:rPr>
          <w:t>бюджетной классификации</w:t>
        </w:r>
      </w:hyperlink>
      <w:r>
        <w:rPr>
          <w:rFonts w:ascii="Calibri" w:hAnsi="Calibri" w:cs="Calibri"/>
          <w:color w:val="5E6D81"/>
          <w:sz w:val="22"/>
          <w:szCs w:val="22"/>
        </w:rPr>
        <w:t> </w:t>
      </w:r>
      <w:r>
        <w:rPr>
          <w:color w:val="5E6D81"/>
        </w:rPr>
        <w:t>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   изменяющих объемы сметных назначений, приводящих к перераспределению их между разделами сметы;</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изменяющих иные показатели, предусмотренные Порядком ведения сметы.</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rFonts w:ascii="Tahoma" w:hAnsi="Tahoma" w:cs="Tahoma"/>
          <w:color w:val="5E6D81"/>
          <w:sz w:val="20"/>
          <w:szCs w:val="20"/>
        </w:rPr>
        <w:t> </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4.3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r:id="rId13" w:anchor="block_1008" w:history="1">
        <w:r>
          <w:rPr>
            <w:rStyle w:val="a5"/>
          </w:rPr>
          <w:t>пункта 2.3</w:t>
        </w:r>
      </w:hyperlink>
      <w:r>
        <w:rPr>
          <w:rFonts w:ascii="Calibri" w:hAnsi="Calibri" w:cs="Calibri"/>
          <w:color w:val="5E6D81"/>
          <w:sz w:val="22"/>
          <w:szCs w:val="22"/>
        </w:rPr>
        <w:t> </w:t>
      </w:r>
      <w:r>
        <w:rPr>
          <w:color w:val="5E6D81"/>
        </w:rPr>
        <w:t>настоящих Общих требований.</w:t>
      </w:r>
    </w:p>
    <w:p w:rsidR="008711D8" w:rsidRDefault="008711D8" w:rsidP="008711D8">
      <w:pPr>
        <w:pStyle w:val="ab"/>
        <w:shd w:val="clear" w:color="auto" w:fill="FFFFFF"/>
        <w:spacing w:before="0" w:beforeAutospacing="0" w:after="0" w:afterAutospacing="0"/>
        <w:jc w:val="both"/>
        <w:rPr>
          <w:rFonts w:ascii="Tahoma" w:hAnsi="Tahoma" w:cs="Tahoma"/>
          <w:color w:val="5E6D81"/>
          <w:sz w:val="20"/>
          <w:szCs w:val="20"/>
        </w:rPr>
      </w:pPr>
      <w:r>
        <w:rPr>
          <w:color w:val="5E6D81"/>
          <w:sz w:val="20"/>
          <w:szCs w:val="20"/>
        </w:rPr>
        <w:t>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r:id="rId14" w:anchor="block_1019" w:history="1">
        <w:r>
          <w:rPr>
            <w:rStyle w:val="a5"/>
            <w:sz w:val="20"/>
            <w:szCs w:val="20"/>
          </w:rPr>
          <w:t>пунктом 4.4</w:t>
        </w:r>
      </w:hyperlink>
      <w:r>
        <w:rPr>
          <w:color w:val="5E6D81"/>
          <w:sz w:val="20"/>
          <w:szCs w:val="20"/>
        </w:rPr>
        <w:t> настоящих Общих требований</w:t>
      </w:r>
    </w:p>
    <w:p w:rsidR="008711D8" w:rsidRDefault="008711D8" w:rsidP="008711D8">
      <w:pPr>
        <w:pStyle w:val="a3"/>
        <w:shd w:val="clear" w:color="auto" w:fill="FFFFFF"/>
        <w:spacing w:before="0" w:beforeAutospacing="0" w:after="195" w:afterAutospacing="0"/>
        <w:jc w:val="both"/>
        <w:rPr>
          <w:rFonts w:ascii="Tahoma" w:hAnsi="Tahoma" w:cs="Tahoma"/>
          <w:color w:val="5E6D81"/>
          <w:sz w:val="20"/>
          <w:szCs w:val="20"/>
        </w:rPr>
      </w:pPr>
      <w:r>
        <w:rPr>
          <w:color w:val="5E6D81"/>
        </w:rPr>
        <w:t xml:space="preserve">4.4. Утверждение изменений в показатели сметы и изменений обоснований (расчетов) плановых сметных показателей осуществляется в сроки, </w:t>
      </w:r>
      <w:proofErr w:type="gramStart"/>
      <w:r>
        <w:rPr>
          <w:color w:val="5E6D81"/>
        </w:rPr>
        <w:t>предусмотренные  пунктом</w:t>
      </w:r>
      <w:proofErr w:type="gramEnd"/>
      <w:r>
        <w:rPr>
          <w:color w:val="5E6D81"/>
        </w:rPr>
        <w:t xml:space="preserve"> 3.2 настоящих Общих требований, в случаях внесения изменений в смету, установленных </w:t>
      </w:r>
      <w:hyperlink r:id="rId15" w:anchor="block_101502" w:history="1">
        <w:r>
          <w:rPr>
            <w:rStyle w:val="a5"/>
          </w:rPr>
          <w:t>пункта </w:t>
        </w:r>
      </w:hyperlink>
      <w:r>
        <w:rPr>
          <w:color w:val="5E6D81"/>
        </w:rPr>
        <w:t>4.2 настоящих Общих требований.</w:t>
      </w:r>
    </w:p>
    <w:p w:rsidR="003B40BD" w:rsidRPr="008711D8" w:rsidRDefault="008711D8" w:rsidP="008711D8">
      <w:bookmarkStart w:id="0" w:name="_GoBack"/>
      <w:bookmarkEnd w:id="0"/>
    </w:p>
    <w:sectPr w:rsidR="003B40BD" w:rsidRPr="00871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5BD4"/>
    <w:multiLevelType w:val="multilevel"/>
    <w:tmpl w:val="3AAEB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E1C94"/>
    <w:multiLevelType w:val="multilevel"/>
    <w:tmpl w:val="2C2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02C62"/>
    <w:multiLevelType w:val="multilevel"/>
    <w:tmpl w:val="A97C7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77A0F"/>
    <w:multiLevelType w:val="multilevel"/>
    <w:tmpl w:val="DAB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A41BD"/>
    <w:rsid w:val="000E5949"/>
    <w:rsid w:val="000F0422"/>
    <w:rsid w:val="001566D0"/>
    <w:rsid w:val="001829A3"/>
    <w:rsid w:val="001B008C"/>
    <w:rsid w:val="001C07D4"/>
    <w:rsid w:val="00204893"/>
    <w:rsid w:val="002A19A9"/>
    <w:rsid w:val="002A7D68"/>
    <w:rsid w:val="00310399"/>
    <w:rsid w:val="00317729"/>
    <w:rsid w:val="003C1CB3"/>
    <w:rsid w:val="00457968"/>
    <w:rsid w:val="00486AA7"/>
    <w:rsid w:val="004C18CE"/>
    <w:rsid w:val="004E2B44"/>
    <w:rsid w:val="00531EAF"/>
    <w:rsid w:val="0056276D"/>
    <w:rsid w:val="00564F77"/>
    <w:rsid w:val="0061562B"/>
    <w:rsid w:val="00622A52"/>
    <w:rsid w:val="006330F8"/>
    <w:rsid w:val="006F2995"/>
    <w:rsid w:val="00720BB7"/>
    <w:rsid w:val="007A74D8"/>
    <w:rsid w:val="007B56BF"/>
    <w:rsid w:val="007E51A6"/>
    <w:rsid w:val="007F1C48"/>
    <w:rsid w:val="00805678"/>
    <w:rsid w:val="0083126B"/>
    <w:rsid w:val="008711D8"/>
    <w:rsid w:val="008A2298"/>
    <w:rsid w:val="00942B49"/>
    <w:rsid w:val="00A56383"/>
    <w:rsid w:val="00B734C9"/>
    <w:rsid w:val="00B96611"/>
    <w:rsid w:val="00BA6663"/>
    <w:rsid w:val="00BC75C3"/>
    <w:rsid w:val="00BF5F1A"/>
    <w:rsid w:val="00C82513"/>
    <w:rsid w:val="00C83F94"/>
    <w:rsid w:val="00CA5D09"/>
    <w:rsid w:val="00D75B46"/>
    <w:rsid w:val="00D91D02"/>
    <w:rsid w:val="00DA6921"/>
    <w:rsid w:val="00DB204C"/>
    <w:rsid w:val="00DD7B02"/>
    <w:rsid w:val="00E13AE6"/>
    <w:rsid w:val="00EA5074"/>
    <w:rsid w:val="00EC741E"/>
    <w:rsid w:val="00EC7AFE"/>
    <w:rsid w:val="00ED269F"/>
    <w:rsid w:val="00ED7F1A"/>
    <w:rsid w:val="00F04943"/>
    <w:rsid w:val="00F05253"/>
    <w:rsid w:val="00F05B67"/>
    <w:rsid w:val="00F46325"/>
    <w:rsid w:val="00F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897058/03bb32f356fe517cbda78957bf19cfa4/" TargetMode="External"/><Relationship Id="rId13" Type="http://schemas.openxmlformats.org/officeDocument/2006/relationships/hyperlink" Target="http://base.garant.ru/71897058/03bb32f356fe517cbda78957bf19cfa4/" TargetMode="External"/><Relationship Id="rId3" Type="http://schemas.openxmlformats.org/officeDocument/2006/relationships/settings" Target="settings.xml"/><Relationship Id="rId7" Type="http://schemas.openxmlformats.org/officeDocument/2006/relationships/hyperlink" Target="http://base.garant.ru/71897058/03bb32f356fe517cbda78957bf19cfa4/" TargetMode="External"/><Relationship Id="rId12" Type="http://schemas.openxmlformats.org/officeDocument/2006/relationships/hyperlink" Target="http://base.garant.ru/70408460/d76cc4a88c2584579d763f3d0458df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72005708/994391b28601e97d40ce50b0e3068017/" TargetMode="External"/><Relationship Id="rId11" Type="http://schemas.openxmlformats.org/officeDocument/2006/relationships/hyperlink" Target="http://base.garant.ru/71897058/03bb32f356fe517cbda78957bf19cfa4/" TargetMode="External"/><Relationship Id="rId5" Type="http://schemas.openxmlformats.org/officeDocument/2006/relationships/hyperlink" Target="http://base.garant.ru/71897058/03bb32f356fe517cbda78957bf19cfa4/" TargetMode="External"/><Relationship Id="rId15" Type="http://schemas.openxmlformats.org/officeDocument/2006/relationships/hyperlink" Target="http://base.garant.ru/71897058/03bb32f356fe517cbda78957bf19cfa4/" TargetMode="External"/><Relationship Id="rId10" Type="http://schemas.openxmlformats.org/officeDocument/2006/relationships/hyperlink" Target="http://base.garant.ru/71897058/03bb32f356fe517cbda78957bf19cfa4/" TargetMode="External"/><Relationship Id="rId4" Type="http://schemas.openxmlformats.org/officeDocument/2006/relationships/webSettings" Target="webSettings.xml"/><Relationship Id="rId9" Type="http://schemas.openxmlformats.org/officeDocument/2006/relationships/hyperlink" Target="http://base.garant.ru/71992286/" TargetMode="External"/><Relationship Id="rId14" Type="http://schemas.openxmlformats.org/officeDocument/2006/relationships/hyperlink" Target="http://base.garant.ru/71897058/03bb32f356fe517cbda78957bf19cf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1217</Words>
  <Characters>6939</Characters>
  <Application>Microsoft Office Word</Application>
  <DocSecurity>0</DocSecurity>
  <Lines>57</Lines>
  <Paragraphs>16</Paragraphs>
  <ScaleCrop>false</ScaleCrop>
  <Company>SPecialiST RePack</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63</cp:revision>
  <dcterms:created xsi:type="dcterms:W3CDTF">2024-08-18T13:51:00Z</dcterms:created>
  <dcterms:modified xsi:type="dcterms:W3CDTF">2024-08-19T11:08:00Z</dcterms:modified>
</cp:coreProperties>
</file>